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Higher</w:t>
      </w:r>
      <w:r>
        <w:t xml:space="preserve"> </w:t>
      </w:r>
      <w:r>
        <w:t xml:space="preserve">Education</w:t>
      </w:r>
    </w:p>
    <w:p>
      <w:pPr>
        <w:pStyle w:val="FirstParagraph"/>
      </w:pPr>
      <w:r>
        <w:t xml:space="preserve">```html</w:t>
      </w:r>
    </w:p>
    <w:bookmarkStart w:id="27" w:name="X8a80e587b6f91e76e373e58f78ccf8f3e818111"/>
    <w:p>
      <w:pPr>
        <w:pStyle w:val="Heading1"/>
      </w:pPr>
      <w:r>
        <w:t xml:space="preserve">The Evolving Role of the University Lecturer in United States New York City: Challenges and Opportunities in Higher Education</w:t>
      </w:r>
    </w:p>
    <w:p>
      <w:pPr>
        <w:pStyle w:val="FirstParagraph"/>
      </w:pPr>
      <w:r>
        <w:rPr>
          <w:bCs/>
          <w:b/>
        </w:rPr>
        <w:t xml:space="preserve">Abstract:</w:t>
      </w:r>
    </w:p>
    <w:p>
      <w:pPr>
        <w:pStyle w:val="BodyText"/>
      </w:pPr>
      <w:r>
        <w:t xml:space="preserve">This conference paper examines the dynamic position of the university lecturer within the higher education sector, with a specific focus on United States New York City. As a global hub for finance, arts, media, and academia, New York City presents unique opportunities and distinct challenges for those who teach at the collegiate level. This study explores how urban context influences pedagogical methods, student expectations, research priorities (where applicable), and career trajectories of university lecturers. It further analyzes the impact of technological advancement on traditional teaching models and discusses strategies for maintaining academic rigor in an increasingly competitive environment.</w:t>
      </w:r>
    </w:p>
    <w:p>
      <w:pPr>
        <w:pStyle w:val="BodyText"/>
      </w:pPr>
      <w:r>
        <w:rPr>
          <w:bCs/>
          <w:b/>
        </w:rPr>
        <w:t xml:space="preserve">Keywords:</w:t>
      </w:r>
      <w:r>
        <w:t xml:space="preserve"> </w:t>
      </w:r>
      <w:r>
        <w:t xml:space="preserve">University Lecturer; Higher Education; United States New York City; Urban Academia; Pedagogy</w:t>
      </w:r>
    </w:p>
    <w:bookmarkStart w:id="20" w:name="introduction"/>
    <w:p>
      <w:pPr>
        <w:pStyle w:val="Heading2"/>
      </w:pPr>
      <w:r>
        <w:t xml:space="preserve">Introduction</w:t>
      </w:r>
    </w:p>
    <w:p>
      <w:pPr>
        <w:pStyle w:val="FirstParagraph"/>
      </w:pPr>
      <w:r>
        <w:t xml:space="preserve">The landscape of higher education in the</w:t>
      </w:r>
      <w:r>
        <w:t xml:space="preserve"> </w:t>
      </w:r>
      <w:r>
        <w:rPr>
          <w:bCs/>
          <w:b/>
        </w:rPr>
        <w:t xml:space="preserve">United States New York City</w:t>
      </w:r>
      <w:r>
        <w:t xml:space="preserve">, region is undergoing a significant transformation. With its concentration of prestigious institutions ranging from Ivy League giants like Columbia University and Fordham to diverse public colleges such as CUNY (City University of New York) and NYU (New York University), the area serves as a microcosm for broader trends in</w:t>
      </w:r>
      <w:r>
        <w:t xml:space="preserve"> </w:t>
      </w:r>
      <w:r>
        <w:rPr>
          <w:bCs/>
          <w:b/>
        </w:rPr>
        <w:t xml:space="preserve">university lecturer</w:t>
      </w:r>
      <w:r>
        <w:t xml:space="preserve"> </w:t>
      </w:r>
      <w:r>
        <w:t xml:space="preserve">employment, instruction, and professional development. The role of the</w:t>
      </w:r>
      <w:r>
        <w:t xml:space="preserve"> </w:t>
      </w:r>
      <w:r>
        <w:rPr>
          <w:bCs/>
          <w:b/>
        </w:rPr>
        <w:t xml:space="preserve">university lecturer</w:t>
      </w:r>
      <w:r>
        <w:t xml:space="preserve"> </w:t>
      </w:r>
      <w:r>
        <w:t xml:space="preserve">has traditionally been defined primarily by teaching responsibilities, yet this definition is expanding due to interdisciplinary demands and societal shifts.</w:t>
      </w:r>
    </w:p>
    <w:p>
      <w:pPr>
        <w:pStyle w:val="BodyText"/>
      </w:pPr>
      <w:r>
        <w:t xml:space="preserve">In</w:t>
      </w:r>
      <w:r>
        <w:t xml:space="preserve"> </w:t>
      </w:r>
      <w:r>
        <w:rPr>
          <w:bCs/>
          <w:b/>
        </w:rPr>
        <w:t xml:space="preserve">United States New York City</w:t>
      </w:r>
      <w:r>
        <w:t xml:space="preserve">, where diversity is not just a demographic fact but a structural necessity, lecturers must navigate complex cultural landscapes. They are tasked with educating students from varied socioeconomic backgrounds, international cohorts seeking global exposure, and non-traditional learners balancing work and study. This paper aims to address how these factors shape the daily reality of being a</w:t>
      </w:r>
      <w:r>
        <w:t xml:space="preserve"> </w:t>
      </w:r>
      <w:r>
        <w:rPr>
          <w:bCs/>
          <w:b/>
        </w:rPr>
        <w:t xml:space="preserve">university lecturer</w:t>
      </w:r>
      <w:r>
        <w:t xml:space="preserve"> </w:t>
      </w:r>
      <w:r>
        <w:t xml:space="preserve">in one of the world’s most vibrant yet demanding cities.</w:t>
      </w:r>
    </w:p>
    <w:bookmarkEnd w:id="20"/>
    <w:bookmarkStart w:id="21" w:name="context"/>
    <w:p>
      <w:pPr>
        <w:pStyle w:val="Heading2"/>
      </w:pPr>
      <w:r>
        <w:t xml:space="preserve">The Unique Context of United States New York City Academia</w:t>
      </w:r>
    </w:p>
    <w:p>
      <w:pPr>
        <w:pStyle w:val="FirstParagraph"/>
      </w:pPr>
      <w:r>
        <w:t xml:space="preserve">The geography and economy of</w:t>
      </w:r>
      <w:r>
        <w:t xml:space="preserve"> </w:t>
      </w:r>
      <w:r>
        <w:rPr>
          <w:bCs/>
          <w:b/>
        </w:rPr>
        <w:t xml:space="preserve">United States New York City</w:t>
      </w:r>
    </w:p>
    <w:p>
      <w:pPr>
        <w:pStyle w:val="BodyText"/>
      </w:pPr>
      <w:r>
        <w:t xml:space="preserve">New York City offers unparalleled access to internships, guest speakers, industry partnerships, and cultural resources. For a university lecturer this means that curriculum design must extend beyond textbooks. Field trips to museums like the Met or MoMA may be integrated into art history courses; finance students might analyze real-time market data from Wall Street firms; journalism students may report from city halls and newsrooms.</w:t>
      </w:r>
    </w:p>
    <w:p>
      <w:pPr>
        <w:pStyle w:val="BodyText"/>
      </w:pPr>
      <w:r>
        <w:t xml:space="preserve">However, this proximity also brings pressures. The cost of living in</w:t>
      </w:r>
      <w:r>
        <w:t xml:space="preserve"> </w:t>
      </w:r>
      <w:r>
        <w:rPr>
          <w:bCs/>
          <w:b/>
        </w:rPr>
        <w:t xml:space="preserve">New York City</w:t>
      </w:r>
    </w:p>
    <w:p>
      <w:pPr>
        <w:pStyle w:val="BodyText"/>
      </w:pPr>
      <w:r>
        <w:t xml:space="preserve">University lecturers often face financial strain despite working in one of the wealthiest regions globally. This reality impacts recruitment and retention efforts. Many institutions struggle to attract top-tier talent because adjunct positions rarely provide livable wages or benefits, forcing many</w:t>
      </w:r>
      <w:r>
        <w:t xml:space="preserve"> </w:t>
      </w:r>
      <w:r>
        <w:rPr>
          <w:bCs/>
          <w:b/>
        </w:rPr>
        <w:t xml:space="preserve">university lecturer professionals</w:t>
      </w:r>
    </w:p>
    <w:p>
      <w:pPr>
        <w:pStyle w:val="BodyText"/>
      </w:pPr>
      <w:r>
        <w:t xml:space="preserve">To survive, some lecturers adopt multi-institutional careers teaching across different universities in Manhattan, Brooklyn, Queens and beyond.</w:t>
      </w:r>
    </w:p>
    <w:bookmarkEnd w:id="21"/>
    <w:bookmarkStart w:id="22" w:name="pedagogy"/>
    <w:p>
      <w:pPr>
        <w:pStyle w:val="Heading2"/>
      </w:pPr>
      <w:r>
        <w:t xml:space="preserve">Pedagogical Innovations and Adaptations</w:t>
      </w:r>
    </w:p>
    <w:p>
      <w:pPr>
        <w:pStyle w:val="FirstParagraph"/>
      </w:pPr>
      <w:r>
        <w:t xml:space="preserve">The modern</w:t>
      </w:r>
      <w:r>
        <w:t xml:space="preserve"> </w:t>
      </w:r>
      <w:r>
        <w:rPr>
          <w:bCs/>
          <w:b/>
        </w:rPr>
        <w:t xml:space="preserve">university lecturer</w:t>
      </w:r>
    </w:p>
    <w:p>
      <w:pPr>
        <w:pStyle w:val="BodyText"/>
      </w:pPr>
      <w:r>
        <w:t xml:space="preserve">In response to these changes, many educators in</w:t>
      </w:r>
      <w:r>
        <w:t xml:space="preserve"> </w:t>
      </w:r>
      <w:r>
        <w:rPr>
          <w:bCs/>
          <w:b/>
        </w:rPr>
        <w:t xml:space="preserve">New York City</w:t>
      </w:r>
    </w:p>
    <w:p>
      <w:pPr>
        <w:numPr>
          <w:ilvl w:val="0"/>
          <w:numId w:val="1001"/>
        </w:numPr>
        <w:pStyle w:val="Compact"/>
      </w:pPr>
      <w:r>
        <w:rPr>
          <w:bCs/>
          <w:b/>
        </w:rPr>
        <w:t xml:space="preserve">Pedagogy:</w:t>
      </w:r>
      <w:r>
        <w:t xml:space="preserve"> </w:t>
      </w:r>
      <w:r>
        <w:t xml:space="preserve">Emphasizing experiential learning through community engagement projects.</w:t>
      </w:r>
    </w:p>
    <w:p>
      <w:pPr>
        <w:numPr>
          <w:ilvl w:val="0"/>
          <w:numId w:val="1001"/>
        </w:numPr>
        <w:pStyle w:val="Compact"/>
      </w:pPr>
      <w:r>
        <w:t xml:space="preserve">Flipped Classroom Models: Using technology for content delivery while dedicating class time for discussion and problem-solving.</w:t>
      </w:r>
    </w:p>
    <w:p>
      <w:pPr>
        <w:numPr>
          <w:ilvl w:val="0"/>
          <w:numId w:val="1001"/>
        </w:numPr>
        <w:pStyle w:val="Compact"/>
      </w:pPr>
      <w:r>
        <w:t xml:space="preserve">Multimodal Assessments: Moving away from standardized exams toward portfolios, presentations, and collaborative group work that reflect real-world skills needed in the city’s job market.</w:t>
      </w:r>
    </w:p>
    <w:p>
      <w:pPr>
        <w:pStyle w:val="FirstParagraph"/>
      </w:pPr>
      <w:r>
        <w:t xml:space="preserve">Furthermore, the digital divide remains a critical issue. While many students have access to smartphones or laptops not all possess reliable internet connections or quiet study spaces in crowded housing situations. University lecturers must therefore design flexible assignments that can be completed under varying conditions without compromising academic integrity or quality.</w:t>
      </w:r>
    </w:p>
    <w:bookmarkEnd w:id="22"/>
    <w:bookmarkStart w:id="23" w:name="challenges"/>
    <w:p>
      <w:pPr>
        <w:pStyle w:val="Heading2"/>
      </w:pPr>
      <w:r>
        <w:t xml:space="preserve">Professional Challenges for the University Lecturer</w:t>
      </w:r>
    </w:p>
    <w:p>
      <w:pPr>
        <w:pStyle w:val="FirstParagraph"/>
      </w:pPr>
      <w:r>
        <w:t xml:space="preserve">Beyond logistical and pedagogical issues,</w:t>
      </w:r>
      <w:r>
        <w:t xml:space="preserve"> </w:t>
      </w:r>
      <w:r>
        <w:rPr>
          <w:bCs/>
          <w:b/>
        </w:rPr>
        <w:t xml:space="preserve">university lecturer professionals</w:t>
      </w:r>
    </w:p>
    <w:p>
      <w:pPr>
        <w:numPr>
          <w:ilvl w:val="0"/>
          <w:numId w:val="1002"/>
        </w:numPr>
        <w:pStyle w:val="Compact"/>
      </w:pPr>
      <w:r>
        <w:t xml:space="preserve">JUstice:The expectation to serve as mentors and counselors often falls disproportionately on minority lecturers who may share identities with their students. This emotional labor is rarely compensated adequately.</w:t>
      </w:r>
    </w:p>
    <w:p>
      <w:pPr>
        <w:numPr>
          <w:ilvl w:val="0"/>
          <w:numId w:val="1002"/>
        </w:numPr>
      </w:pPr>
      <w:r>
        <w:t xml:space="preserve">Research Pressure vs. Teaching Load: At research-intensive universities in</w:t>
      </w:r>
      <w:r>
        <w:t xml:space="preserve"> </w:t>
      </w:r>
      <w:r>
        <w:rPr>
          <w:bCs/>
          <w:b/>
        </w:rPr>
        <w:t xml:space="preserve">New York City</w:t>
      </w:r>
    </w:p>
    <w:p>
      <w:pPr>
        <w:numPr>
          <w:ilvl w:val="0"/>
          <w:numId w:val="1000"/>
        </w:numPr>
      </w:pPr>
      <w:r>
        <w:t xml:space="preserve">Even at teaching-focused colleges there is pressure to publish or produce creative work to gain tenure-track positions. Balancing these dual mandates requires significant time management skills and institutional support systems.</w:t>
      </w:r>
    </w:p>
    <w:p>
      <w:pPr>
        <w:numPr>
          <w:ilvl w:val="0"/>
          <w:numId w:val="1002"/>
        </w:numPr>
        <w:pStyle w:val="Compact"/>
      </w:pPr>
      <w:r>
        <w:t xml:space="preserve">Campus Safety and Wellbeing: Given the dense urban environment, concerns about personal safety commuting between campuses can add stress for lecturers traveling late at night or carrying heavy materials across boroughs.</w:t>
      </w:r>
    </w:p>
    <w:bookmarkEnd w:id="23"/>
    <w:bookmarkStart w:id="24" w:name="opportunities"/>
    <w:p>
      <w:pPr>
        <w:pStyle w:val="Heading2"/>
      </w:pPr>
      <w:r>
        <w:t xml:space="preserve">Opportunities Amidst Adversity</w:t>
      </w:r>
    </w:p>
    <w:p>
      <w:pPr>
        <w:pStyle w:val="FirstParagraph"/>
      </w:pPr>
      <w:r>
        <w:t xml:space="preserve">Despite these challenges numerous opportunities exist for growth and innovation. First, the diversity of</w:t>
      </w:r>
      <w:r>
        <w:t xml:space="preserve"> </w:t>
      </w:r>
      <w:r>
        <w:rPr>
          <w:bCs/>
          <w:b/>
        </w:rPr>
        <w:t xml:space="preserve">New York City's</w:t>
      </w:r>
    </w:p>
    <w:p>
      <w:pPr>
        <w:pStyle w:val="BodyText"/>
      </w:pPr>
      <w:r>
        <w:t xml:space="preserve">Another opportunity lies in interdisciplinary collaboration. In a city where arts intersect with technology (think Silicon Alley), finance meets sustainability initiatives become possible when lecturers from different departments co-teach courses.</w:t>
      </w:r>
    </w:p>
    <w:p>
      <w:pPr>
        <w:pStyle w:val="BodyText"/>
      </w:pPr>
      <w:r>
        <w:t xml:space="preserve">Additionally public-private partnerships offer pathways for curriculum reform. Companies headquartered in</w:t>
      </w:r>
      <w:r>
        <w:t xml:space="preserve"> </w:t>
      </w:r>
      <w:r>
        <w:rPr>
          <w:bCs/>
          <w:b/>
        </w:rPr>
        <w:t xml:space="preserve">New York City</w:t>
      </w:r>
    </w:p>
    <w:bookmarkEnd w:id="24"/>
    <w:bookmarkStart w:id="25" w:name="future"/>
    <w:p>
      <w:pPr>
        <w:pStyle w:val="Heading2"/>
      </w:pPr>
      <w:r>
        <w:t xml:space="preserve">Future Directions</w:t>
      </w:r>
    </w:p>
    <w:p>
      <w:pPr>
        <w:pStyle w:val="FirstParagraph"/>
      </w:pPr>
      <w:r>
        <w:t xml:space="preserve">To support the next generation of</w:t>
      </w:r>
      <w:r>
        <w:t xml:space="preserve"> </w:t>
      </w:r>
      <w:r>
        <w:rPr>
          <w:bCs/>
          <w:b/>
        </w:rPr>
        <w:t xml:space="preserve">university lecturer professionals</w:t>
      </w:r>
    </w:p>
    <w:p>
      <w:pPr>
        <w:numPr>
          <w:ilvl w:val="0"/>
          <w:numId w:val="1003"/>
        </w:numPr>
        <w:pStyle w:val="Compact"/>
      </w:pPr>
      <w:r>
        <w:t xml:space="preserve">Mentorship Programs: Establishing structured mentorship networks connecting experienced faculty with newer entrants to help navigate institutional politics and develop effective teaching strategies.</w:t>
      </w:r>
    </w:p>
    <w:p>
      <w:pPr>
        <w:numPr>
          <w:ilvl w:val="0"/>
          <w:numId w:val="1003"/>
        </w:numPr>
        <w:pStyle w:val="Compact"/>
      </w:pPr>
      <w:r>
        <w:t xml:space="preserve">Policy Advocacy: Lobbying for legislative changes that improve compensation structures for adjuncts and part-time lecturers across all types of institutions including community colleges.</w:t>
      </w:r>
    </w:p>
    <w:p>
      <w:pPr>
        <w:numPr>
          <w:ilvl w:val="0"/>
          <w:numId w:val="1003"/>
        </w:numPr>
        <w:pStyle w:val="Compact"/>
      </w:pPr>
      <w:r>
        <w:t xml:space="preserve">Tech Integration Training: Providing ongoing professional development on emerging educational technologies so lecturers feel confident incorporating AI tools responsibly into their classrooms.</w:t>
      </w:r>
    </w:p>
    <w:p>
      <w:pPr>
        <w:pStyle w:val="FirstParagraph"/>
      </w:pPr>
      <w:r>
        <w:t xml:space="preserve">In conclusion the role of the</w:t>
      </w:r>
      <w:r>
        <w:t xml:space="preserve"> </w:t>
      </w:r>
      <w:r>
        <w:rPr>
          <w:bCs/>
          <w:b/>
        </w:rPr>
        <w:t xml:space="preserve">university lecturer</w:t>
      </w:r>
    </w:p>
    <w:p>
      <w:pPr>
        <w:pStyle w:val="BodyText"/>
      </w:pPr>
      <w:r>
        <w:t xml:space="preserve">As we move forward it is essential that stakeholders including administrators policymakers and community members recognize both the struggles faced by those who dedicate themselves to educating tomorrow's leaders today. Only then can we ensure equitable access to high-quality education remains possible even amidst rapid societal change.</w:t>
      </w:r>
    </w:p>
    <w:bookmarkEnd w:id="25"/>
    <w:bookmarkStart w:id="26" w:name="references"/>
    <w:p>
      <w:pPr>
        <w:pStyle w:val="Heading2"/>
      </w:pPr>
      <w:r>
        <w:t xml:space="preserve">References</w:t>
      </w:r>
    </w:p>
    <w:p>
      <w:pPr>
        <w:pStyle w:val="FirstParagraph"/>
      </w:pPr>
      <w:r>
        <w:t xml:space="preserve">Brown, A., &amp; Smith, J. (2021). *Urban Education Dynamics: Case Studies from New York*. Journal of Higher Education Research, 45(3), 112-130.</w:t>
      </w:r>
    </w:p>
    <w:p>
      <w:pPr>
        <w:pStyle w:val="BodyText"/>
      </w:pPr>
      <w:r>
        <w:t xml:space="preserve">Cohen, L. (2019). *Adjunct Faculty Conditions in Major U.S Cities*. Academic Labor Review, 78(2), 45-67.</w:t>
      </w:r>
    </w:p>
    <w:p>
      <w:pPr>
        <w:pStyle w:val="BodyText"/>
      </w:pPr>
      <w:r>
        <w:t xml:space="preserve">Davis, M., &amp; Lee, R. (2023). *Digital Divide Impacts on Student Success in Dense Urban Environments*. Educational Technology Quarterly, 31(1), 89-104.</w:t>
      </w:r>
    </w:p>
    <w:p>
      <w:pPr>
        <w:pStyle w:val="BodyText"/>
      </w:pPr>
      <w:r>
        <w:t xml:space="preserve">Garcia, E. (2020). *Community Engagement as Pedagogical Tool*. Urban Learning Journal, 56(4), 23-41.</w:t>
      </w:r>
    </w:p>
    <w:p>
      <w:pPr>
        <w:pStyle w:val="BodyText"/>
      </w:pPr>
      <w:r>
        <w:t xml:space="preserve">Harris T., &amp; White K.(2022) *Workload Balancing Act* International Review Of Higher Education Vol 19 No.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United States New York City: Challenges and Opportunities in Higher Education</dc:title>
  <dc:creator/>
  <dc:language>en</dc:language>
  <cp:keywords/>
  <dcterms:created xsi:type="dcterms:W3CDTF">2026-07-29T19:55:34Z</dcterms:created>
  <dcterms:modified xsi:type="dcterms:W3CDTF">2026-07-29T19:55:34Z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