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Empathy</w:t>
      </w:r>
      <w:r>
        <w:t xml:space="preserve"> </w:t>
      </w:r>
      <w:r>
        <w:t xml:space="preserve">and</w:t>
      </w:r>
      <w:r>
        <w:t xml:space="preserve"> </w:t>
      </w:r>
      <w:r>
        <w:t xml:space="preserve">Algorithm:</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Australia</w:t>
      </w:r>
      <w:r>
        <w:t xml:space="preserve"> </w:t>
      </w:r>
      <w:r>
        <w:t xml:space="preserve">Melbourne</w:t>
      </w:r>
    </w:p>
    <w:bookmarkStart w:id="34" w:name="Xf4fe6f248cf046399107f6531f236c89514eac2"/>
    <w:p>
      <w:pPr>
        <w:pStyle w:val="Heading1"/>
      </w:pPr>
      <w:r>
        <w:t xml:space="preserve">The Convergence of Empathy and Algorithm:</w:t>
      </w:r>
      <w:r>
        <w:br/>
      </w:r>
      <w:r>
        <w:t xml:space="preserve">Redefining the Role of the UX UI Designer in Australia Melbourne</w:t>
      </w:r>
    </w:p>
    <w:p>
      <w:pPr>
        <w:pStyle w:val="FirstParagraph"/>
      </w:pPr>
      <w:r>
        <w:rPr>
          <w:bCs/>
          <w:b/>
        </w:rPr>
        <w:t xml:space="preserve">Author:</w:t>
      </w:r>
      <w:r>
        <w:br/>
      </w:r>
      <w:r>
        <w:t xml:space="preserve">Alexandra Thorne</w:t>
      </w:r>
      <w:r>
        <w:br/>
      </w:r>
      <w:r>
        <w:rPr>
          <w:iCs/>
          <w:i/>
        </w:rPr>
        <w:t xml:space="preserve">Digital Innovation Strategist, Melbourne Design Labs</w:t>
      </w:r>
    </w:p>
    <w:bookmarkStart w:id="20" w:name="abstract"/>
    <w:p>
      <w:pPr>
        <w:pStyle w:val="Heading2"/>
      </w:pPr>
      <w:r>
        <w:t xml:space="preserve">Abstract</w:t>
      </w:r>
    </w:p>
    <w:p>
      <w:pPr>
        <w:pStyle w:val="FirstParagraph"/>
      </w:pPr>
      <w:r>
        <w:t xml:space="preserve">This paper examines the evolving landscape of User Experience (UX) and User Interface (UI) design within the unique socio-technical context of Australia Melbourne. As a global hub for technology and creative arts, Australia Melbourne presents a distinct challenge for designers: bridging the gap between high-level digital innovation and localized cultural expectations. This study analyzes current trends in UX UI Designer practices, highlighting the critical need for culturally responsive design frameworks. By exploring case studies from local fintech and healthcare sectors, we argue that successful digital products in this region must prioritize accessibility, indigenous inclusivity, and sustainable design principles.</w:t>
      </w:r>
    </w:p>
    <w:p>
      <w:pPr>
        <w:pStyle w:val="BodyText"/>
      </w:pPr>
      <w:r>
        <w:t xml:space="preserve">Keywords:</w:t>
      </w:r>
      <w:r>
        <w:t xml:space="preserve"> </w:t>
      </w:r>
      <w:r>
        <w:t xml:space="preserve">UX UI Designer, Australia Melbourne, Human-Computer Interaction (HCI), Cultural Inclusivity, Digital Accessibility.</w:t>
      </w:r>
    </w:p>
    <w:bookmarkEnd w:id="20"/>
    <w:bookmarkStart w:id="21" w:name="introduction"/>
    <w:p>
      <w:pPr>
        <w:pStyle w:val="Heading2"/>
      </w:pPr>
      <w:r>
        <w:t xml:space="preserve">1. Introduction</w:t>
      </w:r>
    </w:p>
    <w:p>
      <w:pPr>
        <w:pStyle w:val="FirstParagraph"/>
      </w:pPr>
      <w:r>
        <w:t xml:space="preserve">In the contemporary digital ecosystem, the role of the</w:t>
      </w:r>
      <w:r>
        <w:t xml:space="preserve"> </w:t>
      </w:r>
      <w:r>
        <w:rPr>
          <w:bCs/>
          <w:b/>
        </w:rPr>
        <w:t xml:space="preserve">Australia Melbourne</w:t>
      </w:r>
      <w:r>
        <w:t xml:space="preserve">-based professional has transcended traditional aesthetic boundaries. The city has rapidly emerged as a significant node in the global innovation network, attracting top-tier talent and investment in artificial intelligence, fintech, and creative technologies. Within this vibrant environment, the</w:t>
      </w:r>
      <w:r>
        <w:t xml:space="preserve"> </w:t>
      </w:r>
      <w:r>
        <w:rPr>
          <w:bCs/>
          <w:b/>
        </w:rPr>
        <w:t xml:space="preserve">UX UI Designer</w:t>
      </w:r>
      <w:r>
        <w:t xml:space="preserve"> </w:t>
      </w:r>
      <w:r>
        <w:t xml:space="preserve">serves not merely as a decorator of screens but as a strategic architect of human-computer interaction.</w:t>
      </w:r>
    </w:p>
    <w:p>
      <w:pPr>
        <w:pStyle w:val="BodyText"/>
      </w:pPr>
      <w:r>
        <w:t xml:space="preserve">The purpose of this conference paper is to dissect the specific competencies required for a</w:t>
      </w:r>
      <w:r>
        <w:t xml:space="preserve"> </w:t>
      </w:r>
      <w:r>
        <w:rPr>
          <w:bCs/>
          <w:b/>
        </w:rPr>
        <w:t xml:space="preserve">UX UI Designer</w:t>
      </w:r>
      <w:r>
        <w:t xml:space="preserve"> </w:t>
      </w:r>
      <w:r>
        <w:t xml:space="preserve">operating in</w:t>
      </w:r>
      <w:r>
        <w:t xml:space="preserve"> </w:t>
      </w:r>
      <w:r>
        <w:rPr>
          <w:bCs/>
          <w:b/>
        </w:rPr>
        <w:t xml:space="preserve">Australia Melbourne</w:t>
      </w:r>
      <w:r>
        <w:t xml:space="preserve">. Unlike other global tech hubs, this region demands a nuanced understanding of local demographic shifts, regulatory frameworks regarding data privacy, and a deep respect for First Nations cultural protocols. We posit that the future of design in this locale lies at the intersection of technical proficiency and profound cultural empathy.</w:t>
      </w:r>
    </w:p>
    <w:bookmarkEnd w:id="21"/>
    <w:bookmarkStart w:id="24" w:name="X402e7ec27694c3c8911b8c2bd317e2f218d7c38"/>
    <w:p>
      <w:pPr>
        <w:pStyle w:val="Heading2"/>
      </w:pPr>
      <w:r>
        <w:t xml:space="preserve">2. The Unique Context of Australia Melbourne</w:t>
      </w:r>
    </w:p>
    <w:bookmarkStart w:id="22" w:name="a-hub-of-innovation-with-local-roots"/>
    <w:p>
      <w:pPr>
        <w:pStyle w:val="Heading3"/>
      </w:pPr>
      <w:r>
        <w:t xml:space="preserve">2.1 A Hub of Innovation with Local Roots</w:t>
      </w:r>
    </w:p>
    <w:p>
      <w:pPr>
        <w:pStyle w:val="FirstParagraph"/>
      </w:pPr>
      <w:r>
        <w:t xml:space="preserve">Melbourne is frequently cited as one of the world’s most liveable cities, a title that stems from its robust infrastructure, cultural diversity, and educational institutions. For the digital sector, this translates into a user base that is highly educated and digitally literate. However, this sophistication raises the bar for design standards. Users in</w:t>
      </w:r>
      <w:r>
        <w:t xml:space="preserve"> </w:t>
      </w:r>
      <w:r>
        <w:rPr>
          <w:bCs/>
          <w:b/>
        </w:rPr>
        <w:t xml:space="preserve">Australia Melbourne</w:t>
      </w:r>
      <w:r>
        <w:t xml:space="preserve"> </w:t>
      </w:r>
      <w:r>
        <w:t xml:space="preserve">are increasingly critical of poor usability, data mishandling, and generic design templates that fail to resonate with local sensibilities.</w:t>
      </w:r>
    </w:p>
    <w:bookmarkEnd w:id="22"/>
    <w:bookmarkStart w:id="23" w:name="regulatory-landscape"/>
    <w:p>
      <w:pPr>
        <w:pStyle w:val="Heading3"/>
      </w:pPr>
      <w:r>
        <w:t xml:space="preserve">2.2 Regulatory Landscape</w:t>
      </w:r>
    </w:p>
    <w:p>
      <w:pPr>
        <w:pStyle w:val="FirstParagraph"/>
      </w:pPr>
      <w:r>
        <w:t xml:space="preserve">The regulatory environment in Australia is stringent, particularly concerning privacy under the Privacy Act 1988 and upcoming amendments. A competent</w:t>
      </w:r>
      <w:r>
        <w:t xml:space="preserve"> </w:t>
      </w:r>
      <w:r>
        <w:rPr>
          <w:bCs/>
          <w:b/>
        </w:rPr>
        <w:t xml:space="preserve">UX UI Designer</w:t>
      </w:r>
      <w:r>
        <w:t xml:space="preserve"> </w:t>
      </w:r>
      <w:r>
        <w:t xml:space="preserve">must navigate these constraints proactively, integrating "privacy by design" principles into the user interface. This means ensuring that consent mechanisms are clear, non-intrusive, and easily understandable, thereby building trust with users who are increasingly wary of data exploitation.</w:t>
      </w:r>
    </w:p>
    <w:bookmarkEnd w:id="23"/>
    <w:bookmarkEnd w:id="24"/>
    <w:bookmarkStart w:id="27" w:name="the-evolving-role-of-the-ux-ui-designer"/>
    <w:p>
      <w:pPr>
        <w:pStyle w:val="Heading2"/>
      </w:pPr>
      <w:r>
        <w:t xml:space="preserve">3. The Evolving Role of the UX UI Designer</w:t>
      </w:r>
    </w:p>
    <w:p>
      <w:pPr>
        <w:pStyle w:val="FirstParagraph"/>
      </w:pPr>
      <w:r>
        <w:t xml:space="preserve">The title "UX UI Designer" often implies a dual responsibility: the experience (UX) focuses on the overall feel and logic of a product, while the interface (UI) deals with visual aesthetics and interactive elements. In</w:t>
      </w:r>
      <w:r>
        <w:t xml:space="preserve"> </w:t>
      </w:r>
      <w:r>
        <w:rPr>
          <w:bCs/>
          <w:b/>
        </w:rPr>
        <w:t xml:space="preserve">Australia Melbourne</w:t>
      </w:r>
      <w:r>
        <w:t xml:space="preserve">, these disciplines are converging into a holistic design strategy.</w:t>
      </w:r>
    </w:p>
    <w:bookmarkStart w:id="25" w:name="from-pixels-to-problems"/>
    <w:p>
      <w:pPr>
        <w:pStyle w:val="Heading3"/>
      </w:pPr>
      <w:r>
        <w:t xml:space="preserve">3.1 From Pixels to Problems</w:t>
      </w:r>
    </w:p>
    <w:p>
      <w:pPr>
        <w:pStyle w:val="FirstParagraph"/>
      </w:pPr>
      <w:r>
        <w:t xml:space="preserve">Gone are the days when a designer was brought in only at the final stage of development. In leading Australian companies, the</w:t>
      </w:r>
      <w:r>
        <w:t xml:space="preserve"> </w:t>
      </w:r>
      <w:r>
        <w:rPr>
          <w:bCs/>
          <w:b/>
        </w:rPr>
        <w:t xml:space="preserve">UX UI Designer</w:t>
      </w:r>
      <w:r>
        <w:t xml:space="preserve"> </w:t>
      </w:r>
      <w:r>
        <w:t xml:space="preserve">is involved from the inception phase. They act as advocates for the user, challenging business assumptions through rigorous research and testing. This shift requires designers to possess strong soft skills, including stakeholder management and data analysis capabilities.</w:t>
      </w:r>
    </w:p>
    <w:bookmarkEnd w:id="25"/>
    <w:bookmarkStart w:id="26" w:name="accessibility-as-a-moral-imperative"/>
    <w:p>
      <w:pPr>
        <w:pStyle w:val="Heading3"/>
      </w:pPr>
      <w:r>
        <w:t xml:space="preserve">3.2 Accessibility as a Moral Imperative</w:t>
      </w:r>
    </w:p>
    <w:p>
      <w:pPr>
        <w:pStyle w:val="FirstParagraph"/>
      </w:pPr>
      <w:r>
        <w:t xml:space="preserve">Inclusivity is not just a buzzword in Australia; it is a legal and ethical requirement. The Disability Discrimination Act 1992 mandates that digital services be accessible to people with disabilities. Therefore, the</w:t>
      </w:r>
      <w:r>
        <w:t xml:space="preserve"> </w:t>
      </w:r>
      <w:r>
        <w:rPr>
          <w:bCs/>
          <w:b/>
        </w:rPr>
        <w:t xml:space="preserve">Australia Melbourne</w:t>
      </w:r>
      <w:r>
        <w:t xml:space="preserve"> </w:t>
      </w:r>
      <w:r>
        <w:t xml:space="preserve">design community must adhere strictly to WCAG (Web Content Accessibility Guidelines) standards. This involves designing for screen readers, ensuring color contrast ratios are sufficient for visually impaired users, and creating keyboard-navigable interfaces.</w:t>
      </w:r>
    </w:p>
    <w:bookmarkEnd w:id="26"/>
    <w:bookmarkEnd w:id="27"/>
    <w:bookmarkStart w:id="28" w:name="X5c4b986a84f986b9302d885baa7007c00fc52ac"/>
    <w:p>
      <w:pPr>
        <w:pStyle w:val="Heading2"/>
      </w:pPr>
      <w:r>
        <w:t xml:space="preserve">4. Cultural Responsiveness and Indigenous Design</w:t>
      </w:r>
    </w:p>
    <w:p>
      <w:pPr>
        <w:pStyle w:val="FirstParagraph"/>
      </w:pPr>
      <w:r>
        <w:t xml:space="preserve">A critical aspect of design in this region is the recognition of Traditional Owners and their connection to Country. For a</w:t>
      </w:r>
      <w:r>
        <w:t xml:space="preserve"> </w:t>
      </w:r>
      <w:r>
        <w:rPr>
          <w:bCs/>
          <w:b/>
        </w:rPr>
        <w:t xml:space="preserve">UX UI Designer</w:t>
      </w:r>
      <w:r>
        <w:t xml:space="preserve">, this involves more than incorporating Aboriginal art styles; it requires a deep engagement with Indigenous communities to understand their digital needs and preferences. This concept, often referred to as "Culturally Safe Design," ensures that digital platforms do not perpetuate colonial narratives but instead empower Indigenous voices.</w:t>
      </w:r>
    </w:p>
    <w:p>
      <w:pPr>
        <w:pStyle w:val="BodyText"/>
      </w:pPr>
      <w:r>
        <w:t xml:space="preserve">Case studies from local health apps demonstrate that when designers collaborate with Aboriginal consultants, user engagement rates increase significantly. These applications often feature storytelling elements, native language support, and community-driven feedback loops. Thus, the role of the designer expands to include cultural brokerage and ethical collaboration.</w:t>
      </w:r>
    </w:p>
    <w:bookmarkEnd w:id="28"/>
    <w:bookmarkStart w:id="31" w:name="challenges-and-future-directions"/>
    <w:p>
      <w:pPr>
        <w:pStyle w:val="Heading2"/>
      </w:pPr>
      <w:r>
        <w:t xml:space="preserve">5. Challenges and Future Directions</w:t>
      </w:r>
    </w:p>
    <w:bookmarkStart w:id="29" w:name="the-skills-gap"/>
    <w:p>
      <w:pPr>
        <w:pStyle w:val="Heading3"/>
      </w:pPr>
      <w:r>
        <w:t xml:space="preserve">5.1 The Skills Gap</w:t>
      </w:r>
    </w:p>
    <w:p>
      <w:pPr>
        <w:pStyle w:val="FirstParagraph"/>
      </w:pPr>
      <w:r>
        <w:t xml:space="preserve">Despite the growth of design education in Melbourne, there remains a shortage of senior professionals who can lead complex digital transformations. Companies are struggling to find designers who combine technical coding knowledge with strategic business acumen. This gap necessitates a shift in educational curricula towards interdisciplinary learning.</w:t>
      </w:r>
    </w:p>
    <w:bookmarkEnd w:id="29"/>
    <w:bookmarkStart w:id="30" w:name="ai-and-automation"/>
    <w:p>
      <w:pPr>
        <w:pStyle w:val="Heading3"/>
      </w:pPr>
      <w:r>
        <w:t xml:space="preserve">5.2 AI and Automation</w:t>
      </w:r>
    </w:p>
    <w:p>
      <w:pPr>
        <w:pStyle w:val="FirstParagraph"/>
      </w:pPr>
      <w:r>
        <w:t xml:space="preserve">The rise of Generative AI poses both a threat and an opportunity for the</w:t>
      </w:r>
      <w:r>
        <w:t xml:space="preserve"> </w:t>
      </w:r>
      <w:r>
        <w:rPr>
          <w:bCs/>
          <w:b/>
        </w:rPr>
        <w:t xml:space="preserve">UX UI Designer</w:t>
      </w:r>
      <w:r>
        <w:t xml:space="preserve">. While AI can automate routine layout tasks, it cannot replicate human empathy or cultural nuance. The future designer in Australia will likely leverage AI tools to accelerate prototyping, freeing up time for deeper user research and strategic thinking. However, this requires designers to develop new skills in prompt engineering and AI ethics.</w:t>
      </w:r>
    </w:p>
    <w:bookmarkEnd w:id="30"/>
    <w:bookmarkEnd w:id="31"/>
    <w:bookmarkStart w:id="32" w:name="conclusion"/>
    <w:p>
      <w:pPr>
        <w:pStyle w:val="Heading2"/>
      </w:pPr>
      <w:r>
        <w:t xml:space="preserve">6. Conclusion</w:t>
      </w:r>
    </w:p>
    <w:p>
      <w:pPr>
        <w:pStyle w:val="FirstParagraph"/>
      </w:pPr>
      <w:r>
        <w:t xml:space="preserve">In conclusion, the landscape of design in</w:t>
      </w:r>
      <w:r>
        <w:t xml:space="preserve"> </w:t>
      </w:r>
      <w:r>
        <w:rPr>
          <w:bCs/>
          <w:b/>
        </w:rPr>
        <w:t xml:space="preserve">Australia Melbourne</w:t>
      </w:r>
      <w:r>
        <w:t xml:space="preserve"> </w:t>
      </w:r>
      <w:r>
        <w:t xml:space="preserve">is dynamic and demanding. The modern</w:t>
      </w:r>
      <w:r>
        <w:t xml:space="preserve"> </w:t>
      </w:r>
      <w:r>
        <w:rPr>
          <w:bCs/>
          <w:b/>
        </w:rPr>
        <w:t xml:space="preserve">UX UI Designer</w:t>
      </w:r>
      <w:r>
        <w:t xml:space="preserve"> </w:t>
      </w:r>
      <w:r>
        <w:t xml:space="preserve">must be a multifaceted professional: part researcher, part artist, and part ethical guardian. Success in this market requires a commitment to accessibility, inclusivity, and cultural responsiveness. As technology continues to evolve, those who can balance innovation with human-centric values will thrive.</w:t>
      </w:r>
    </w:p>
    <w:p>
      <w:pPr>
        <w:pStyle w:val="BodyText"/>
      </w:pPr>
      <w:r>
        <w:t xml:space="preserve">For policymakers and industry leaders in Australia Melbourne, supporting the design profession through funding for research and inclusive hiring practices is essential. By elevating the status of design thinking, we can create digital products that are not only functional but also meaningful and equitable for all citizens.</w:t>
      </w:r>
    </w:p>
    <w:bookmarkEnd w:id="32"/>
    <w:bookmarkStart w:id="33" w:name="references"/>
    <w:p>
      <w:pPr>
        <w:pStyle w:val="Heading2"/>
      </w:pPr>
      <w:r>
        <w:t xml:space="preserve">References</w:t>
      </w:r>
    </w:p>
    <w:p>
      <w:pPr>
        <w:numPr>
          <w:ilvl w:val="0"/>
          <w:numId w:val="1001"/>
        </w:numPr>
        <w:pStyle w:val="Compact"/>
      </w:pPr>
      <w:r>
        <w:t xml:space="preserve">Australian Human Rights Commission. (2019).</w:t>
      </w:r>
      <w:r>
        <w:t xml:space="preserve"> </w:t>
      </w:r>
      <w:r>
        <w:rPr>
          <w:iCs/>
          <w:i/>
        </w:rPr>
        <w:t xml:space="preserve">Cyberbullying and Youth Mental Health</w:t>
      </w:r>
      <w:r>
        <w:t xml:space="preserve">. Sydney: AHRC.</w:t>
      </w:r>
    </w:p>
    <w:p>
      <w:pPr>
        <w:numPr>
          <w:ilvl w:val="0"/>
          <w:numId w:val="1001"/>
        </w:numPr>
        <w:pStyle w:val="Compact"/>
      </w:pPr>
      <w:r>
        <w:t xml:space="preserve">Bull, M., &amp; Greenhill, K. (2016). "Designing for Indigenous Cultures." In</w:t>
      </w:r>
      <w:r>
        <w:t xml:space="preserve"> </w:t>
      </w:r>
      <w:r>
        <w:rPr>
          <w:iCs/>
          <w:i/>
        </w:rPr>
        <w:t xml:space="preserve">The Routledge Companion to Design Studies</w:t>
      </w:r>
      <w:r>
        <w:t xml:space="preserve">.</w:t>
      </w:r>
    </w:p>
    <w:p>
      <w:pPr>
        <w:numPr>
          <w:ilvl w:val="0"/>
          <w:numId w:val="1001"/>
        </w:numPr>
        <w:pStyle w:val="Compact"/>
      </w:pPr>
      <w:r>
        <w:t xml:space="preserve">Melbourne Digital Innovation Hub. (2023).</w:t>
      </w:r>
      <w:r>
        <w:t xml:space="preserve"> </w:t>
      </w:r>
      <w:r>
        <w:rPr>
          <w:iCs/>
          <w:i/>
        </w:rPr>
        <w:t xml:space="preserve">State of the Tech Industry Report: Melbourne 2023</w:t>
      </w:r>
      <w:r>
        <w:t xml:space="preserve">. Melbourne: MDIH.</w:t>
      </w:r>
    </w:p>
    <w:p>
      <w:pPr>
        <w:numPr>
          <w:ilvl w:val="0"/>
          <w:numId w:val="1001"/>
        </w:numPr>
        <w:pStyle w:val="Compact"/>
      </w:pPr>
      <w:r>
        <w:t xml:space="preserve">National Disability Strategy Australia. (2019). Canberra: Department of Social Services.</w:t>
      </w:r>
    </w:p>
    <w:p>
      <w:pPr>
        <w:numPr>
          <w:ilvl w:val="0"/>
          <w:numId w:val="1001"/>
        </w:numPr>
        <w:pStyle w:val="Compact"/>
      </w:pPr>
      <w:r>
        <w:t xml:space="preserve">Tull, D., &amp; Yarrow, K. (2018). "The Role of UX in Fintech Adoption."</w:t>
      </w:r>
      <w:r>
        <w:t xml:space="preserve"> </w:t>
      </w:r>
      <w:r>
        <w:rPr>
          <w:iCs/>
          <w:i/>
        </w:rPr>
        <w:t xml:space="preserve">Journal of Interactive Marketing</w:t>
      </w:r>
      <w:r>
        <w:t xml:space="preserve">, 45, 12-28.</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Empathy and Algorithm: Redefining the Role of the UX UI Designer in Australia Melbourne</dc:title>
  <dc:creator/>
  <dc:language>en</dc:language>
  <cp:keywords/>
  <dcterms:created xsi:type="dcterms:W3CDTF">2026-07-29T04:32:46Z</dcterms:created>
  <dcterms:modified xsi:type="dcterms:W3CDTF">2026-07-29T04:32:46Z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