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Tradition</w:t>
      </w:r>
      <w:r>
        <w:t xml:space="preserve"> </w:t>
      </w:r>
      <w:r>
        <w:t xml:space="preserve">and</w:t>
      </w:r>
      <w:r>
        <w:t xml:space="preserve"> </w:t>
      </w:r>
      <w:r>
        <w:t xml:space="preserve">Innovation:</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UX/UI</w:t>
      </w:r>
      <w:r>
        <w:t xml:space="preserve"> </w:t>
      </w:r>
      <w:r>
        <w:t xml:space="preserve">Design</w:t>
      </w:r>
      <w:r>
        <w:t xml:space="preserve"> </w:t>
      </w:r>
      <w:r>
        <w:t xml:space="preserve">in</w:t>
      </w:r>
      <w:r>
        <w:t xml:space="preserve"> </w:t>
      </w:r>
      <w:r>
        <w:t xml:space="preserve">Kuwait</w:t>
      </w:r>
      <w:r>
        <w:t xml:space="preserve"> </w:t>
      </w:r>
      <w:r>
        <w:t xml:space="preserve">City</w:t>
      </w:r>
    </w:p>
    <w:bookmarkStart w:id="20" w:name="X244b92ef29faed7c56eee86996fc8d7073d1864"/>
    <w:p>
      <w:pPr>
        <w:pStyle w:val="Heading1"/>
      </w:pPr>
      <w:r>
        <w:t xml:space="preserve">The Intersection of Tradition and Innovation: A Strategic Framework for UX/UI Design in Kuwait City</w:t>
      </w:r>
    </w:p>
    <w:p>
      <w:pPr>
        <w:pStyle w:val="FirstParagraph"/>
      </w:pPr>
      <w:r>
        <w:rPr>
          <w:bCs/>
          <w:b/>
        </w:rPr>
        <w:t xml:space="preserve">Conference Paper Presentation</w:t>
      </w:r>
    </w:p>
    <w:p>
      <w:pPr>
        <w:pStyle w:val="BodyText"/>
      </w:pPr>
      <w:r>
        <w:rPr>
          <w:iCs/>
          <w:i/>
        </w:rPr>
        <w:t xml:space="preserve">Kuwait City, Kuwait | Regional Digital Transformation Summit 2024</w:t>
      </w:r>
    </w:p>
    <w:bookmarkEnd w:id="20"/>
    <w:bookmarkStart w:id="21" w:name="abstract"/>
    <w:p>
      <w:pPr>
        <w:pStyle w:val="Heading3"/>
      </w:pPr>
      <w:r>
        <w:t xml:space="preserve">Abstract</w:t>
      </w:r>
    </w:p>
    <w:p>
      <w:pPr>
        <w:pStyle w:val="FirstParagraph"/>
      </w:pPr>
      <w:r>
        <w:t xml:space="preserve">This paper explores the unique challenges and opportunities facing User Experience (UX) and User Interface (UI) designers operating within the dynamic context of Kuwait City. As part of the broader Vision 2035 "New Kuwait" initiative, there is a pressing need to align digital product design with local cultural nuances, linguistic specificities, and infrastructural realities. This document argues that effective UX/UI design in this region requires a hybrid approach that marries global best practices with deep hyper-local insights.</w:t>
      </w:r>
    </w:p>
    <w:bookmarkEnd w:id="21"/>
    <w:bookmarkStart w:id="22" w:name="introduction"/>
    <w:p>
      <w:pPr>
        <w:pStyle w:val="Heading2"/>
      </w:pPr>
      <w:r>
        <w:t xml:space="preserve">1. Introduction</w:t>
      </w:r>
    </w:p>
    <w:p>
      <w:pPr>
        <w:pStyle w:val="FirstParagraph"/>
      </w:pPr>
      <w:r>
        <w:t xml:space="preserve">The digital landscape of the Middle East is undergoing a seismic shift, driven by high smartphone penetration rates and an increasingly youthful population. Nowhere is this transformation more palpable than in Kuwait City, the bustling economic and cultural heart of Kuwait. As technology companies strive to capture this market, they often fall into the trap of applying generic global design patterns that fail to resonate with local users.</w:t>
      </w:r>
    </w:p>
    <w:p>
      <w:pPr>
        <w:pStyle w:val="BodyText"/>
      </w:pPr>
      <w:r>
        <w:t xml:space="preserve">This conference paper serves as a critical analysis for UX/UI designers, product managers, and stakeholders involved in digital projects within Kuwait City. It posits that cultural competence is not merely an aesthetic choice but a fundamental component of functional usability. By examining the specific sociocultural fabric of Kuwait City, we can derive a framework for creating digital experiences that are both internationally competitive and locally relevant.</w:t>
      </w:r>
    </w:p>
    <w:bookmarkEnd w:id="22"/>
    <w:bookmarkStart w:id="25" w:name="X438190934deb4f20a8c3e1cc54c80e4c4fb726c"/>
    <w:p>
      <w:pPr>
        <w:pStyle w:val="Heading2"/>
      </w:pPr>
      <w:r>
        <w:t xml:space="preserve">2. The Cultural Context: Designing for the Kuwaiti User</w:t>
      </w:r>
    </w:p>
    <w:p>
      <w:pPr>
        <w:pStyle w:val="FirstParagraph"/>
      </w:pPr>
      <w:r>
        <w:t xml:space="preserve">To design effectively for users in Kuwait City, one must first understand the societal values that underpin their interactions with technology. The concept of "face" and social hierarchy plays a significant role in communication styles, which translates directly into UI requirements. For instance, interface tones must balance professionalism with hospitality—a trait deeply ingrained in Kuwaiti culture.</w:t>
      </w:r>
    </w:p>
    <w:bookmarkStart w:id="23" w:name="linguistic-nuances-and-arabic-typography"/>
    <w:p>
      <w:pPr>
        <w:pStyle w:val="Heading3"/>
      </w:pPr>
      <w:r>
        <w:t xml:space="preserve">2.1 Linguistic Nuances and Arabic Typography</w:t>
      </w:r>
    </w:p>
    <w:p>
      <w:pPr>
        <w:pStyle w:val="FirstParagraph"/>
      </w:pPr>
      <w:r>
        <w:t xml:space="preserve">A common pitfall for international teams is underestimating the complexity of Right-to-Left (RTL) languages, specifically Arabic. In Kuwait City, where a mix of local dialects and Modern Standard Arabic is used, UX designers must go beyond simple mirroring of layouts. Font selection is critical; standard web fonts often do not support the intricate ligatures required for elegant Arabic typography. Poor typography can lead to reduced readability and a perception of low quality.</w:t>
      </w:r>
    </w:p>
    <w:p>
      <w:pPr>
        <w:pStyle w:val="BodyText"/>
      </w:pPr>
      <w:r>
        <w:t xml:space="preserve">Furthermore, code-switching—mixing English and Arabic—is prevalent among the younger demographic in Kuwait City. Interfaces that offer seamless switching between languages without breaking layout consistency are essential. This requires robust engineering support alongside creative UI design to ensure that dynamic text expansion does not obscure critical interface elements.</w:t>
      </w:r>
    </w:p>
    <w:bookmarkEnd w:id="23"/>
    <w:bookmarkStart w:id="24" w:name="visual-aesthetics-and-symbolism"/>
    <w:p>
      <w:pPr>
        <w:pStyle w:val="Heading3"/>
      </w:pPr>
      <w:r>
        <w:t xml:space="preserve">2.2 Visual Aesthetics and Symbolism</w:t>
      </w:r>
    </w:p>
    <w:p>
      <w:pPr>
        <w:pStyle w:val="FirstParagraph"/>
      </w:pPr>
      <w:r>
        <w:t xml:space="preserve">The visual identity of a product in Kuwait City should reflect local heritage without resorting to stereotypes. Use of traditional geometric patterns, the color palette inspired by the desert and sea, and imagery that reflects the diverse demographics of Kuwait City can create an immediate sense of belonging. However, designers must remain sensitive to religious sensitivities regarding imagery and content moderation.</w:t>
      </w:r>
    </w:p>
    <w:bookmarkEnd w:id="24"/>
    <w:bookmarkEnd w:id="25"/>
    <w:bookmarkStart w:id="28" w:name="infrastructure-and-technical-constraints"/>
    <w:p>
      <w:pPr>
        <w:pStyle w:val="Heading2"/>
      </w:pPr>
      <w:r>
        <w:t xml:space="preserve">3. Infrastructure and Technical Constraints</w:t>
      </w:r>
    </w:p>
    <w:p>
      <w:pPr>
        <w:pStyle w:val="FirstParagraph"/>
      </w:pPr>
      <w:r>
        <w:t xml:space="preserve">A robust UX strategy must account for the technical environment in which it operates. While Kuwait City boasts excellent 5G infrastructure, there are still disparities in internet speeds across different areas of the country, particularly when users are traveling or using mobile data while roaming.</w:t>
      </w:r>
    </w:p>
    <w:bookmarkStart w:id="26" w:name="performance-as-a-feature"/>
    <w:p>
      <w:pPr>
        <w:pStyle w:val="Heading3"/>
      </w:pPr>
      <w:r>
        <w:t xml:space="preserve">3.1 Performance as a Feature</w:t>
      </w:r>
    </w:p>
    <w:p>
      <w:pPr>
        <w:pStyle w:val="FirstParagraph"/>
      </w:pPr>
      <w:r>
        <w:t xml:space="preserve">In this context, speed is a design feature. UX designers must prioritize lightweight assets and efficient loading states. A "skeleton loader" or progressive enhancement techniques should be standard practice to maintain user engagement during network fluctuations. Ignoring these factors leads to high bounce rates, particularly for e-commerce and fintech applications where trust is paramount.</w:t>
      </w:r>
    </w:p>
    <w:bookmarkEnd w:id="26"/>
    <w:bookmarkStart w:id="27" w:name="device-fragmentation"/>
    <w:p>
      <w:pPr>
        <w:pStyle w:val="Heading3"/>
      </w:pPr>
      <w:r>
        <w:t xml:space="preserve">3.2 Device Fragmentation</w:t>
      </w:r>
    </w:p>
    <w:p>
      <w:pPr>
        <w:pStyle w:val="FirstParagraph"/>
      </w:pPr>
      <w:r>
        <w:t xml:space="preserve">The Android market in Kuwait City is heavily fragmented, with a wide variety of devices ranging from flagship models to budget smartphones with lower processing power. UI designs must be responsive not just across screen sizes, but across performance tiers. Complex animations that look impressive on high-end devices may cause jank and frustration on older hardware.</w:t>
      </w:r>
    </w:p>
    <w:bookmarkEnd w:id="27"/>
    <w:bookmarkEnd w:id="28"/>
    <w:bookmarkStart w:id="31" w:name="Xe4311ee9efdc0ee4ca9ff1bcc78229cbcf8b20f"/>
    <w:p>
      <w:pPr>
        <w:pStyle w:val="Heading2"/>
      </w:pPr>
      <w:r>
        <w:t xml:space="preserve">4. The Role of the UX/UI Designer in Vision 2035</w:t>
      </w:r>
    </w:p>
    <w:p>
      <w:pPr>
        <w:pStyle w:val="FirstParagraph"/>
      </w:pPr>
      <w:r>
        <w:t xml:space="preserve">Kuwait’s "New Kuwait" vision aims to diversify the economy and enhance public services through digitalization. For government entities and startups alike, the UX/UI designer plays a pivotal role as an advocate for the citizen.</w:t>
      </w:r>
    </w:p>
    <w:bookmarkStart w:id="29" w:name="accessibility-and-inclusivity"/>
    <w:p>
      <w:pPr>
        <w:pStyle w:val="Heading3"/>
      </w:pPr>
      <w:r>
        <w:t xml:space="preserve">4.1 Accessibility and Inclusivity</w:t>
      </w:r>
    </w:p>
    <w:p>
      <w:pPr>
        <w:pStyle w:val="FirstParagraph"/>
      </w:pPr>
      <w:r>
        <w:t xml:space="preserve">Inclusive design is not optional in Kuwait City; it is a necessity. With a growing awareness of accessibility standards, designers must ensure that interfaces are navigable by users with visual or motor impairments. This includes high-contrast modes, scalable text, and voice navigation options that support Arabic dialects.</w:t>
      </w:r>
    </w:p>
    <w:bookmarkEnd w:id="29"/>
    <w:bookmarkStart w:id="30" w:name="trust-and-security"/>
    <w:p>
      <w:pPr>
        <w:pStyle w:val="Heading3"/>
      </w:pPr>
      <w:r>
        <w:t xml:space="preserve">4.2 Trust and Security</w:t>
      </w:r>
    </w:p>
    <w:p>
      <w:pPr>
        <w:pStyle w:val="FirstParagraph"/>
      </w:pPr>
      <w:r>
        <w:t xml:space="preserve">Kuwaiti users are increasingly cautious about data privacy and financial security. UI elements that communicate transparency—such as clear privacy policies written in plain Arabic, visible security badges, and intuitive consent management screens—are crucial for building trust. The design must make the complex simple; confusing legal jargon should be replaced with clear, concise micro-copy.</w:t>
      </w:r>
    </w:p>
    <w:bookmarkEnd w:id="30"/>
    <w:bookmarkEnd w:id="31"/>
    <w:bookmarkStart w:id="32" w:name="methodological-recommendations"/>
    <w:p>
      <w:pPr>
        <w:pStyle w:val="Heading2"/>
      </w:pPr>
      <w:r>
        <w:t xml:space="preserve">5. Methodological Recommendations</w:t>
      </w:r>
    </w:p>
    <w:p>
      <w:pPr>
        <w:pStyle w:val="FirstParagraph"/>
      </w:pPr>
      <w:r>
        <w:t xml:space="preserve">To succeed in Kuwait City, UX/UI teams should adopt the following methodologies:</w:t>
      </w:r>
    </w:p>
    <w:p>
      <w:pPr>
        <w:numPr>
          <w:ilvl w:val="0"/>
          <w:numId w:val="1001"/>
        </w:numPr>
        <w:pStyle w:val="Compact"/>
      </w:pPr>
      <w:r>
        <w:rPr>
          <w:bCs/>
          <w:b/>
        </w:rPr>
        <w:t xml:space="preserve">Ethnographic Research:</w:t>
      </w:r>
      <w:r>
        <w:t xml:space="preserve"> </w:t>
      </w:r>
      <w:r>
        <w:t xml:space="preserve">Conduct field studies within Kuwait City to observe how users interact with technology in their natural environments, such as malls, cafes, and government offices.</w:t>
      </w:r>
    </w:p>
    <w:p>
      <w:pPr>
        <w:numPr>
          <w:ilvl w:val="0"/>
          <w:numId w:val="1001"/>
        </w:numPr>
        <w:pStyle w:val="Compact"/>
      </w:pPr>
      <w:r>
        <w:rPr>
          <w:bCs/>
          <w:b/>
        </w:rPr>
        <w:t xml:space="preserve">Cultural Prototyping:</w:t>
      </w:r>
      <w:r>
        <w:t xml:space="preserve"> </w:t>
      </w:r>
      <w:r>
        <w:t xml:space="preserve">Test prototypes with local user groups who represent the cross-section of Kuwaiti society, including both natives and the expatriate community.</w:t>
      </w:r>
    </w:p>
    <w:p>
      <w:pPr>
        <w:numPr>
          <w:ilvl w:val="0"/>
          <w:numId w:val="1001"/>
        </w:numPr>
        <w:pStyle w:val="Compact"/>
      </w:pPr>
      <w:r>
        <w:rPr>
          <w:bCs/>
          <w:b/>
        </w:rPr>
        <w:t xml:space="preserve">Iterative Localization:</w:t>
      </w:r>
      <w:r>
        <w:t xml:space="preserve"> </w:t>
      </w:r>
      <w:r>
        <w:t xml:space="preserve">Treat localization as an ongoing process rather than a one-time translation task. Continuously gather feedback from users in Kuwait City to refine tone, imagery, and flow.</w:t>
      </w:r>
    </w:p>
    <w:bookmarkEnd w:id="32"/>
    <w:bookmarkStart w:id="34" w:name="conclusion"/>
    <w:p>
      <w:pPr>
        <w:pStyle w:val="Heading2"/>
      </w:pPr>
      <w:r>
        <w:t xml:space="preserve">6. Conclusion</w:t>
      </w:r>
    </w:p>
    <w:p>
      <w:pPr>
        <w:pStyle w:val="FirstParagraph"/>
      </w:pPr>
      <w:r>
        <w:t xml:space="preserve">The potential for digital innovation in Kuwait City is vast, but it requires a nuanced approach to design. UX/UI designers cannot rely solely on global trends; they must immerse themselves in the local context of Kuwait City to create products that are truly useful and desirable. By respecting linguistic intricacies, understanding cultural values, and addressing technical realities, designers can contribute significantly to the digital transformation goals outlined in Vision 2035.</w:t>
      </w:r>
    </w:p>
    <w:p>
      <w:pPr>
        <w:pStyle w:val="BodyText"/>
      </w:pPr>
      <w:r>
        <w:t xml:space="preserve">As we move forward, let us view the role of the UX/UI designer not just as creators of pretty interfaces, but as architects of cultural connection. In Kuwait City, where tradition meets modernity with remarkable speed, our designs must bridge that gap with empathy and precision.</w:t>
      </w:r>
    </w:p>
    <w:p>
      <w:r>
        <w:pict>
          <v:rect style="width:0;height:1.5pt" o:hralign="center" o:hrstd="t" o:hr="t"/>
        </w:pict>
      </w:r>
    </w:p>
    <w:bookmarkStart w:id="33" w:name="references"/>
    <w:p>
      <w:pPr>
        <w:pStyle w:val="Heading3"/>
      </w:pPr>
      <w:r>
        <w:t xml:space="preserve">References</w:t>
      </w:r>
    </w:p>
    <w:p>
      <w:pPr>
        <w:pStyle w:val="FirstParagraph"/>
      </w:pPr>
      <w:r>
        <w:rPr>
          <w:iCs/>
          <w:i/>
        </w:rPr>
        <w:t xml:space="preserve">[1] Kuwait Vision 2035: New Kuwait - Planning Council.</w:t>
      </w:r>
    </w:p>
    <w:p>
      <w:pPr>
        <w:pStyle w:val="BodyText"/>
      </w:pPr>
      <w:r>
        <w:rPr>
          <w:iCs/>
          <w:i/>
        </w:rPr>
        <w:t xml:space="preserve">[2] Nielsen Norman Group. (2023). Usability Trends in the MENA Region.</w:t>
      </w:r>
    </w:p>
    <w:p>
      <w:pPr>
        <w:pStyle w:val="BodyText"/>
      </w:pPr>
      <w:r>
        <w:rPr>
          <w:iCs/>
          <w:i/>
        </w:rPr>
        <w:t xml:space="preserve">[3] Arab User Experience Collective. (2024). Localizing for Arabic-Speaking Audiences.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Tradition and Innovation: A Strategic Framework for UX/UI Design in Kuwait City</dc:title>
  <dc:creator/>
  <dc:language>en</dc:language>
  <cp:keywords/>
  <dcterms:created xsi:type="dcterms:W3CDTF">2026-07-29T18:05:55Z</dcterms:created>
  <dcterms:modified xsi:type="dcterms:W3CDTF">2026-07-29T18:05:55Z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