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(Malaysia</w:t>
      </w:r>
      <w:r>
        <w:t xml:space="preserve"> </w:t>
      </w:r>
      <w:r>
        <w:t xml:space="preserve">Kuala</w:t>
      </w:r>
      <w:r>
        <w:t xml:space="preserve"> </w:t>
      </w:r>
      <w:r>
        <w:t xml:space="preserve">Lumpur)</w:t>
      </w:r>
    </w:p>
    <w:bookmarkStart w:id="35" w:name="curriculum-vitae"/>
    <w:p>
      <w:pPr>
        <w:pStyle w:val="Heading1"/>
      </w:pPr>
      <w:r>
        <w:t xml:space="preserve">Curriculum Vitae</w:t>
      </w:r>
    </w:p>
    <w:bookmarkStart w:id="34" w:name="auditor-malaysia-kuala-lumpur"/>
    <w:p>
      <w:pPr>
        <w:pStyle w:val="Heading2"/>
      </w:pPr>
      <w:r>
        <w:t xml:space="preserve">Auditor | Malaysia Kuala Lumpur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Aminah Razak</w:t>
      </w:r>
      <w:r>
        <w:br/>
      </w:r>
      <w:r>
        <w:rPr>
          <w:bCs/>
          <w:b/>
        </w:rPr>
        <w:t xml:space="preserve">Email:</w:t>
      </w:r>
      <w:r>
        <w:t xml:space="preserve"> </w:t>
      </w:r>
      <w:r>
        <w:t xml:space="preserve">aminah.razak@email.com</w:t>
      </w:r>
      <w:r>
        <w:br/>
      </w:r>
      <w:r>
        <w:rPr>
          <w:bCs/>
          <w:b/>
        </w:rPr>
        <w:t xml:space="preserve">Phone:</w:t>
      </w:r>
      <w:r>
        <w:t xml:space="preserve"> </w:t>
      </w:r>
      <w:r>
        <w:t xml:space="preserve">+6012-345-6789</w:t>
      </w:r>
      <w:r>
        <w:br/>
      </w: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highly motivated and detail-oriented Auditor with over 8 years of experience in financial compliance, internal controls, and risk management. Specializing in auditing practices aligned with Malaysian Accounting Standards (MAS) and International Financial Reporting Standards (IFRS). Proven expertise in conducting audits for multinational corporations and local businesses in Malaysia Kuala Lumpur. Committed to delivering accurate financial reporting, ensuring regulatory compliance, and fostering transparency within organizations. A certified professional with a strong understanding of the dynamic business environment in Malaysia.</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Deloitte Malaysia</w:t>
      </w:r>
      <w:r>
        <w:t xml:space="preserve"> </w:t>
      </w:r>
      <w:r>
        <w:t xml:space="preserve">| Kuala Lumpur, Malaysia</w:t>
      </w:r>
      <w:r>
        <w:br/>
      </w:r>
      <w:r>
        <w:t xml:space="preserve">June 2019 – Present</w:t>
      </w:r>
    </w:p>
    <w:p>
      <w:pPr>
        <w:numPr>
          <w:ilvl w:val="0"/>
          <w:numId w:val="1001"/>
        </w:numPr>
        <w:pStyle w:val="Compact"/>
      </w:pPr>
      <w:r>
        <w:t xml:space="preserve">Lead audit engagements for clients in the manufacturing and technology sectors, ensuring compliance with MAS and IFRS.</w:t>
      </w:r>
    </w:p>
    <w:p>
      <w:pPr>
        <w:numPr>
          <w:ilvl w:val="0"/>
          <w:numId w:val="1001"/>
        </w:numPr>
        <w:pStyle w:val="Compact"/>
      </w:pPr>
      <w:r>
        <w:t xml:space="preserve">Conducted internal control assessments to identify risks and recommend mitigation strategies for organizations in Malaysia Kuala Lumpur.</w:t>
      </w:r>
    </w:p>
    <w:p>
      <w:pPr>
        <w:numPr>
          <w:ilvl w:val="0"/>
          <w:numId w:val="1001"/>
        </w:numPr>
        <w:pStyle w:val="Compact"/>
      </w:pPr>
      <w:r>
        <w:t xml:space="preserve">Collaborated with cross-functional teams to streamline audit processes, reducing project timelines by 15% while maintaining quality standards.</w:t>
      </w:r>
    </w:p>
    <w:p>
      <w:pPr>
        <w:numPr>
          <w:ilvl w:val="0"/>
          <w:numId w:val="1001"/>
        </w:numPr>
        <w:pStyle w:val="Compact"/>
      </w:pPr>
      <w:r>
        <w:t xml:space="preserve">Provided expert advice on financial reporting and tax compliance, supporting clients during regulatory inspections in Malaysia.</w:t>
      </w:r>
    </w:p>
    <w:bookmarkEnd w:id="22"/>
    <w:bookmarkStart w:id="23" w:name="audit-supervisor"/>
    <w:p>
      <w:pPr>
        <w:pStyle w:val="Heading4"/>
      </w:pPr>
      <w:r>
        <w:t xml:space="preserve">Audit Supervisor</w:t>
      </w:r>
    </w:p>
    <w:p>
      <w:pPr>
        <w:pStyle w:val="FirstParagraph"/>
      </w:pPr>
      <w:r>
        <w:rPr>
          <w:bCs/>
          <w:b/>
        </w:rPr>
        <w:t xml:space="preserve">PwC Malaysia</w:t>
      </w:r>
      <w:r>
        <w:t xml:space="preserve"> </w:t>
      </w:r>
      <w:r>
        <w:t xml:space="preserve">| Kuala Lumpur, Malaysia</w:t>
      </w:r>
      <w:r>
        <w:br/>
      </w:r>
      <w:r>
        <w:t xml:space="preserve">March 2015 – May 2019</w:t>
      </w:r>
    </w:p>
    <w:p>
      <w:pPr>
        <w:numPr>
          <w:ilvl w:val="0"/>
          <w:numId w:val="1002"/>
        </w:numPr>
        <w:pStyle w:val="Compact"/>
      </w:pPr>
      <w:r>
        <w:t xml:space="preserve">Managed audit teams of up to 10 members, ensuring adherence to audit standards and deadlines for clients in the retail and healthcare industries.</w:t>
      </w:r>
    </w:p>
    <w:p>
      <w:pPr>
        <w:numPr>
          <w:ilvl w:val="0"/>
          <w:numId w:val="1002"/>
        </w:numPr>
        <w:pStyle w:val="Compact"/>
      </w:pPr>
      <w:r>
        <w:t xml:space="preserve">Prepared detailed audit reports for stakeholders, highlighting key findings and actionable insights for improvement in financial practices.</w:t>
      </w:r>
    </w:p>
    <w:p>
      <w:pPr>
        <w:numPr>
          <w:ilvl w:val="0"/>
          <w:numId w:val="1002"/>
        </w:numPr>
        <w:pStyle w:val="Compact"/>
      </w:pPr>
      <w:r>
        <w:t xml:space="preserve">Conducted training sessions on Malaysian tax laws and compliance requirements to junior auditors, enhancing team efficiency in Kuala Lumpur.</w:t>
      </w:r>
    </w:p>
    <w:p>
      <w:pPr>
        <w:numPr>
          <w:ilvl w:val="0"/>
          <w:numId w:val="1002"/>
        </w:numPr>
        <w:pStyle w:val="Compact"/>
      </w:pPr>
      <w:r>
        <w:t xml:space="preserve">Played a pivotal role in the successful audit of a multinational corporation based in Malaysia, achieving a 100% compliance score with local regulations.</w:t>
      </w:r>
    </w:p>
    <w:bookmarkEnd w:id="23"/>
    <w:bookmarkStart w:id="24" w:name="audit-assistant"/>
    <w:p>
      <w:pPr>
        <w:pStyle w:val="Heading4"/>
      </w:pPr>
      <w:r>
        <w:t xml:space="preserve">Audit Assistant</w:t>
      </w:r>
    </w:p>
    <w:p>
      <w:pPr>
        <w:pStyle w:val="FirstParagraph"/>
      </w:pPr>
      <w:r>
        <w:rPr>
          <w:bCs/>
          <w:b/>
        </w:rPr>
        <w:t xml:space="preserve">KPMG Malaysia</w:t>
      </w:r>
      <w:r>
        <w:t xml:space="preserve"> </w:t>
      </w:r>
      <w:r>
        <w:t xml:space="preserve">| Kuala Lumpur, Malaysia</w:t>
      </w:r>
      <w:r>
        <w:br/>
      </w:r>
      <w:r>
        <w:t xml:space="preserve">January 2013 – February 2015</w:t>
      </w:r>
    </w:p>
    <w:p>
      <w:pPr>
        <w:numPr>
          <w:ilvl w:val="0"/>
          <w:numId w:val="1003"/>
        </w:numPr>
        <w:pStyle w:val="Compact"/>
      </w:pPr>
      <w:r>
        <w:t xml:space="preserve">Supported senior auditors in the preparation of audit documentation and financial statements for clients in the hospitality and construction sectors.</w:t>
      </w:r>
    </w:p>
    <w:p>
      <w:pPr>
        <w:numPr>
          <w:ilvl w:val="0"/>
          <w:numId w:val="1003"/>
        </w:numPr>
        <w:pStyle w:val="Compact"/>
      </w:pPr>
      <w:r>
        <w:t xml:space="preserve">Utilized accounting software such as SAP and QuickBooks to analyze financial data, identifying discrepancies and ensuring accuracy.</w:t>
      </w:r>
    </w:p>
    <w:p>
      <w:pPr>
        <w:numPr>
          <w:ilvl w:val="0"/>
          <w:numId w:val="1003"/>
        </w:numPr>
        <w:pStyle w:val="Compact"/>
      </w:pPr>
      <w:r>
        <w:t xml:space="preserve">Assisted in the implementation of internal control frameworks for SMEs in Malaysia Kuala Lumpur, improving their operational efficiency.</w:t>
      </w:r>
    </w:p>
    <w:bookmarkEnd w:id="24"/>
    <w:bookmarkEnd w:id="25"/>
    <w:bookmarkStart w:id="28" w:name="educational-background"/>
    <w:p>
      <w:pPr>
        <w:pStyle w:val="Heading3"/>
      </w:pPr>
      <w:r>
        <w:t xml:space="preserve">Educational Background</w:t>
      </w:r>
    </w:p>
    <w:bookmarkStart w:id="26" w:name="bachelor-of-accounting-hons"/>
    <w:p>
      <w:pPr>
        <w:pStyle w:val="Heading4"/>
      </w:pPr>
      <w:r>
        <w:t xml:space="preserve">Bachelor of Accounting (Hons)</w:t>
      </w:r>
    </w:p>
    <w:p>
      <w:pPr>
        <w:pStyle w:val="FirstParagraph"/>
      </w:pPr>
      <w:r>
        <w:rPr>
          <w:bCs/>
          <w:b/>
        </w:rPr>
        <w:t xml:space="preserve">Universiti Malaya, Kuala Lumpur, Malaysia</w:t>
      </w:r>
      <w:r>
        <w:br/>
      </w:r>
      <w:r>
        <w:t xml:space="preserve">Graduated: June 2012</w:t>
      </w:r>
    </w:p>
    <w:bookmarkEnd w:id="26"/>
    <w:bookmarkStart w:id="27" w:name="master-of-professional-accounting"/>
    <w:p>
      <w:pPr>
        <w:pStyle w:val="Heading4"/>
      </w:pPr>
      <w:r>
        <w:t xml:space="preserve">Master of Professional Accounting</w:t>
      </w:r>
    </w:p>
    <w:p>
      <w:pPr>
        <w:pStyle w:val="FirstParagraph"/>
      </w:pPr>
      <w:r>
        <w:rPr>
          <w:bCs/>
          <w:b/>
        </w:rPr>
        <w:t xml:space="preserve">Monash University (Malaysia Campus), Kuala Lumpur, Malaysia</w:t>
      </w:r>
      <w:r>
        <w:br/>
      </w:r>
      <w:r>
        <w:t xml:space="preserve">Graduated: December 2015</w:t>
      </w:r>
    </w:p>
    <w:bookmarkEnd w:id="27"/>
    <w:bookmarkEnd w:id="28"/>
    <w:bookmarkStart w:id="29" w:name="professional-certifications"/>
    <w:p>
      <w:pPr>
        <w:pStyle w:val="Heading3"/>
      </w:pPr>
      <w:r>
        <w:t xml:space="preserve">Professional Certifications</w:t>
      </w:r>
    </w:p>
    <w:p>
      <w:pPr>
        <w:numPr>
          <w:ilvl w:val="0"/>
          <w:numId w:val="1004"/>
        </w:numPr>
        <w:pStyle w:val="Compact"/>
      </w:pPr>
      <w:r>
        <w:rPr>
          <w:bCs/>
          <w:b/>
        </w:rPr>
        <w:t xml:space="preserve">Certified Public Accountant (CPA), Malaysia</w:t>
      </w:r>
      <w:r>
        <w:t xml:space="preserve"> </w:t>
      </w:r>
      <w:r>
        <w:t xml:space="preserve">– Malaysian Institute of Accountants (MIA), 2018</w:t>
      </w:r>
    </w:p>
    <w:p>
      <w:pPr>
        <w:numPr>
          <w:ilvl w:val="0"/>
          <w:numId w:val="1004"/>
        </w:numPr>
        <w:pStyle w:val="Compact"/>
      </w:pPr>
      <w:r>
        <w:rPr>
          <w:bCs/>
          <w:b/>
        </w:rPr>
        <w:t xml:space="preserve">Association of Chartered Certified Accountants (ACCA)</w:t>
      </w:r>
      <w:r>
        <w:t xml:space="preserve"> </w:t>
      </w:r>
      <w:r>
        <w:t xml:space="preserve">– Completed all exams, 2016</w:t>
      </w:r>
    </w:p>
    <w:p>
      <w:pPr>
        <w:numPr>
          <w:ilvl w:val="0"/>
          <w:numId w:val="1004"/>
        </w:numPr>
        <w:pStyle w:val="Compact"/>
      </w:pPr>
      <w:r>
        <w:rPr>
          <w:bCs/>
          <w:b/>
        </w:rPr>
        <w:t xml:space="preserve">Certified Internal Auditor (CIA)</w:t>
      </w:r>
      <w:r>
        <w:t xml:space="preserve"> </w:t>
      </w:r>
      <w:r>
        <w:t xml:space="preserve">– Institute of Internal Auditors, 2020</w:t>
      </w:r>
    </w:p>
    <w:bookmarkEnd w:id="29"/>
    <w:bookmarkStart w:id="30" w:name="technical-skills"/>
    <w:p>
      <w:pPr>
        <w:pStyle w:val="Heading3"/>
      </w:pPr>
      <w:r>
        <w:t xml:space="preserve">Technical Skills</w:t>
      </w:r>
    </w:p>
    <w:p>
      <w:pPr>
        <w:numPr>
          <w:ilvl w:val="0"/>
          <w:numId w:val="1005"/>
        </w:numPr>
        <w:pStyle w:val="Compact"/>
      </w:pPr>
      <w:r>
        <w:t xml:space="preserve">Familiarity with audit standards (ISA, MAS)</w:t>
      </w:r>
    </w:p>
    <w:p>
      <w:pPr>
        <w:numPr>
          <w:ilvl w:val="0"/>
          <w:numId w:val="1005"/>
        </w:numPr>
        <w:pStyle w:val="Compact"/>
      </w:pPr>
      <w:r>
        <w:t xml:space="preserve">Proficient in accounting software (SAP, Tally, QuickBooks)</w:t>
      </w:r>
    </w:p>
    <w:p>
      <w:pPr>
        <w:numPr>
          <w:ilvl w:val="0"/>
          <w:numId w:val="1005"/>
        </w:numPr>
        <w:pStyle w:val="Compact"/>
      </w:pPr>
      <w:r>
        <w:t xml:space="preserve">Strong analytical and problem-solving skills</w:t>
      </w:r>
    </w:p>
    <w:p>
      <w:pPr>
        <w:numPr>
          <w:ilvl w:val="0"/>
          <w:numId w:val="1005"/>
        </w:numPr>
        <w:pStyle w:val="Compact"/>
      </w:pPr>
      <w:r>
        <w:t xml:space="preserve">Expertise in financial reporting and compliance</w:t>
      </w:r>
    </w:p>
    <w:bookmarkEnd w:id="30"/>
    <w:bookmarkStart w:id="31" w:name="languages"/>
    <w:p>
      <w:pPr>
        <w:pStyle w:val="Heading3"/>
      </w:pPr>
      <w:r>
        <w:t xml:space="preserve">Languages</w:t>
      </w:r>
    </w:p>
    <w:p>
      <w:pPr>
        <w:numPr>
          <w:ilvl w:val="0"/>
          <w:numId w:val="1006"/>
        </w:numPr>
        <w:pStyle w:val="Compact"/>
      </w:pPr>
      <w:r>
        <w:t xml:space="preserve">Malay – Native speaker</w:t>
      </w:r>
    </w:p>
    <w:p>
      <w:pPr>
        <w:numPr>
          <w:ilvl w:val="0"/>
          <w:numId w:val="1006"/>
        </w:numPr>
        <w:pStyle w:val="Compact"/>
      </w:pPr>
      <w:r>
        <w:t xml:space="preserve">English – Fluent (IELTS 7.5)</w:t>
      </w:r>
    </w:p>
    <w:p>
      <w:pPr>
        <w:numPr>
          <w:ilvl w:val="0"/>
          <w:numId w:val="1006"/>
        </w:numPr>
        <w:pStyle w:val="Compact"/>
      </w:pPr>
      <w:r>
        <w:t xml:space="preserve">Mandarin – Basic communication skills</w:t>
      </w:r>
    </w:p>
    <w:bookmarkEnd w:id="31"/>
    <w:bookmarkStart w:id="32" w:name="professional-affiliations"/>
    <w:p>
      <w:pPr>
        <w:pStyle w:val="Heading3"/>
      </w:pPr>
      <w:r>
        <w:t xml:space="preserve">Professional Affiliations</w:t>
      </w:r>
    </w:p>
    <w:p>
      <w:pPr>
        <w:numPr>
          <w:ilvl w:val="0"/>
          <w:numId w:val="1007"/>
        </w:numPr>
        <w:pStyle w:val="Compact"/>
      </w:pPr>
      <w:r>
        <w:t xml:space="preserve">Member, Malaysian Institute of Accountants (MIA)</w:t>
      </w:r>
    </w:p>
    <w:p>
      <w:pPr>
        <w:numPr>
          <w:ilvl w:val="0"/>
          <w:numId w:val="1007"/>
        </w:numPr>
        <w:pStyle w:val="Compact"/>
      </w:pPr>
      <w:r>
        <w:t xml:space="preserve">Member, Association of Chartered Certified Accountants (ACCA)</w:t>
      </w:r>
    </w:p>
    <w:p>
      <w:pPr>
        <w:numPr>
          <w:ilvl w:val="0"/>
          <w:numId w:val="1007"/>
        </w:numPr>
        <w:pStyle w:val="Compact"/>
      </w:pPr>
      <w:r>
        <w:t xml:space="preserve">Volunteer Auditor for the Malaysian Red Crescent Society, Kuala Lumpur</w:t>
      </w:r>
    </w:p>
    <w:bookmarkEnd w:id="32"/>
    <w:bookmarkStart w:id="33" w:name="additional-information"/>
    <w:p>
      <w:pPr>
        <w:pStyle w:val="Heading3"/>
      </w:pPr>
      <w:r>
        <w:t xml:space="preserve">Additional Information</w:t>
      </w:r>
    </w:p>
    <w:p>
      <w:pPr>
        <w:pStyle w:val="FirstParagraph"/>
      </w:pPr>
      <w:r>
        <w:t xml:space="preserve">As an Auditor in Malaysia Kuala Lumpur, I have consistently contributed to the growth and compliance of organizations through rigorous financial audits and strategic advisory. My work has been instrumental in helping businesses navigate regulatory challenges and achieve financial transparency. I am dedicated to upholding the highest standards of professionalism, integrity, and ethical practices in all my roles.</w:t>
      </w:r>
    </w:p>
    <w:bookmarkEnd w:id="33"/>
    <w:p>
      <w:pPr>
        <w:pStyle w:val="BodyText"/>
      </w:pPr>
      <w:r>
        <w:t xml:space="preserve">Curriculum Vitae - Auditor | Malaysia Kuala Lumpur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(Malaysia Kuala Lumpur)</dc:title>
  <dc:creator/>
  <dc:language>en</dc:language>
  <cp:keywords/>
  <dcterms:created xsi:type="dcterms:W3CDTF">2025-12-05T08:14:34Z</dcterms:created>
  <dcterms:modified xsi:type="dcterms:W3CDTF">2025-12-05T08:14:34Z</dcterms:modified>
</cp:coreProperties>
</file>

<file path=docProps/custom.xml><?xml version="1.0" encoding="utf-8"?>
<Properties xmlns="http://schemas.openxmlformats.org/officeDocument/2006/custom-properties" xmlns:vt="http://schemas.openxmlformats.org/officeDocument/2006/docPropsVTypes"/>
</file>