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Iran</w:t>
      </w:r>
      <w:r>
        <w:t xml:space="preserve"> </w:t>
      </w:r>
      <w:r>
        <w:t xml:space="preserve">Tehran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Mohammad Rezaei</w:t>
      </w:r>
      <w:r>
        <w:br/>
      </w:r>
      <w:r>
        <w:rPr>
          <w:bCs/>
          <w:b/>
        </w:rPr>
        <w:t xml:space="preserve">Email:</w:t>
      </w:r>
      <w:r>
        <w:t xml:space="preserve"> </w:t>
      </w:r>
      <w:r>
        <w:t xml:space="preserve">m.rezaei@banker.ir</w:t>
      </w:r>
      <w:r>
        <w:br/>
      </w:r>
      <w:r>
        <w:rPr>
          <w:bCs/>
          <w:b/>
        </w:rPr>
        <w:t xml:space="preserve">Phone:</w:t>
      </w:r>
      <w:r>
        <w:t xml:space="preserve"> </w:t>
      </w:r>
      <w:r>
        <w:t xml:space="preserve">+98 21 12345678</w:t>
      </w:r>
      <w:r>
        <w:br/>
      </w:r>
      <w:r>
        <w:rPr>
          <w:bCs/>
          <w:b/>
        </w:rPr>
        <w:t xml:space="preserve">Address:</w:t>
      </w:r>
      <w:r>
        <w:t xml:space="preserve"> </w:t>
      </w:r>
      <w:r>
        <w:t xml:space="preserve">Tehran, Iran (Tehran Province, District 5)</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the financial sector of Iran, particularly in Tehran. Proven track record in managing banking operations, customer relationship management, and compliance with local regulations. A deep understanding of the unique challenges and opportunities within Iran's banking landscape, including adherence to Islamic finance principles and regulatory frameworks. Committed to fostering trust through ethical practices and innovative financial solutions tailored for Tehran's dynamic economy.</w:t>
      </w:r>
    </w:p>
    <w:bookmarkEnd w:id="21"/>
    <w:bookmarkStart w:id="25" w:name="work-experience"/>
    <w:p>
      <w:pPr>
        <w:pStyle w:val="Heading2"/>
      </w:pPr>
      <w:r>
        <w:t xml:space="preserve">Work Experience</w:t>
      </w:r>
    </w:p>
    <w:bookmarkStart w:id="22" w:name="senior-banker"/>
    <w:p>
      <w:pPr>
        <w:pStyle w:val="Heading3"/>
      </w:pPr>
      <w:r>
        <w:t xml:space="preserve">Senior Banker</w:t>
      </w:r>
    </w:p>
    <w:p>
      <w:pPr>
        <w:pStyle w:val="FirstParagraph"/>
      </w:pPr>
      <w:r>
        <w:rPr>
          <w:bCs/>
          <w:b/>
        </w:rPr>
        <w:t xml:space="preserve">National Bank of Iran (NBI)</w:t>
      </w:r>
      <w:r>
        <w:br/>
      </w:r>
      <w:r>
        <w:t xml:space="preserve">Tehran, Iran</w:t>
      </w:r>
      <w:r>
        <w:br/>
      </w:r>
      <w:r>
        <w:t xml:space="preserve">January 2018 – Present</w:t>
      </w:r>
    </w:p>
    <w:p>
      <w:pPr>
        <w:numPr>
          <w:ilvl w:val="0"/>
          <w:numId w:val="1001"/>
        </w:numPr>
        <w:pStyle w:val="Compact"/>
      </w:pPr>
      <w:r>
        <w:t xml:space="preserve">Overseeing daily banking operations, including loan disbursement, account management, and financial advisory services for individual and corporate clients in Tehran.</w:t>
      </w:r>
    </w:p>
    <w:p>
      <w:pPr>
        <w:numPr>
          <w:ilvl w:val="0"/>
          <w:numId w:val="1001"/>
        </w:numPr>
        <w:pStyle w:val="Compact"/>
      </w:pPr>
      <w:r>
        <w:t xml:space="preserve">Developing and implementing strategies to enhance customer satisfaction, resulting in a 25% increase in client retention within the first year.</w:t>
      </w:r>
    </w:p>
    <w:p>
      <w:pPr>
        <w:numPr>
          <w:ilvl w:val="0"/>
          <w:numId w:val="1001"/>
        </w:numPr>
        <w:pStyle w:val="Compact"/>
      </w:pPr>
      <w:r>
        <w:t xml:space="preserve">Collaborating with regulatory bodies to ensure compliance with Iran's banking laws and international standards, particularly those affecting Tehran-based financial institutions.</w:t>
      </w:r>
    </w:p>
    <w:p>
      <w:pPr>
        <w:numPr>
          <w:ilvl w:val="0"/>
          <w:numId w:val="1001"/>
        </w:numPr>
        <w:pStyle w:val="Compact"/>
      </w:pPr>
      <w:r>
        <w:t xml:space="preserve">Training junior bankers on Islamic banking principles and modern financial technologies to align with the evolving needs of Tehran's market.</w:t>
      </w:r>
    </w:p>
    <w:bookmarkEnd w:id="22"/>
    <w:bookmarkStart w:id="23" w:name="banking-officer"/>
    <w:p>
      <w:pPr>
        <w:pStyle w:val="Heading3"/>
      </w:pPr>
      <w:r>
        <w:t xml:space="preserve">Banking Officer</w:t>
      </w:r>
    </w:p>
    <w:p>
      <w:pPr>
        <w:pStyle w:val="FirstParagraph"/>
      </w:pPr>
      <w:r>
        <w:rPr>
          <w:bCs/>
          <w:b/>
        </w:rPr>
        <w:t xml:space="preserve">Parsian Bank</w:t>
      </w:r>
      <w:r>
        <w:br/>
      </w:r>
      <w:r>
        <w:t xml:space="preserve">Tehran, Iran</w:t>
      </w:r>
      <w:r>
        <w:br/>
      </w:r>
      <w:r>
        <w:t xml:space="preserve">June 2012 – December 2017</w:t>
      </w:r>
    </w:p>
    <w:p>
      <w:pPr>
        <w:numPr>
          <w:ilvl w:val="0"/>
          <w:numId w:val="1002"/>
        </w:numPr>
        <w:pStyle w:val="Compact"/>
      </w:pPr>
      <w:r>
        <w:t xml:space="preserve">Managed a portfolio of over 500 clients in Tehran, providing tailored financial solutions such as personal loans, mortgages, and investment products.</w:t>
      </w:r>
    </w:p>
    <w:p>
      <w:pPr>
        <w:numPr>
          <w:ilvl w:val="0"/>
          <w:numId w:val="1002"/>
        </w:numPr>
        <w:pStyle w:val="Compact"/>
      </w:pPr>
      <w:r>
        <w:t xml:space="preserve">Conducted credit risk assessments and ensured adherence to Iran's regulatory guidelines for loan approvals in Tehran's commercial sector.</w:t>
      </w:r>
    </w:p>
    <w:p>
      <w:pPr>
        <w:numPr>
          <w:ilvl w:val="0"/>
          <w:numId w:val="1002"/>
        </w:numPr>
        <w:pStyle w:val="Compact"/>
      </w:pPr>
      <w:r>
        <w:t xml:space="preserve">Played a key role in launching the bank’s mobile banking platform, which expanded access to financial services for Tehran residents.</w:t>
      </w:r>
    </w:p>
    <w:p>
      <w:pPr>
        <w:numPr>
          <w:ilvl w:val="0"/>
          <w:numId w:val="1002"/>
        </w:numPr>
        <w:pStyle w:val="Compact"/>
      </w:pPr>
      <w:r>
        <w:t xml:space="preserve">Contributed to community outreach programs, educating citizens on financial literacy and the benefits of banking in Iran.</w:t>
      </w:r>
    </w:p>
    <w:bookmarkEnd w:id="23"/>
    <w:bookmarkStart w:id="24" w:name="assistant-banker"/>
    <w:p>
      <w:pPr>
        <w:pStyle w:val="Heading3"/>
      </w:pPr>
      <w:r>
        <w:t xml:space="preserve">Assistant Banker</w:t>
      </w:r>
    </w:p>
    <w:p>
      <w:pPr>
        <w:pStyle w:val="FirstParagraph"/>
      </w:pPr>
      <w:r>
        <w:rPr>
          <w:bCs/>
          <w:b/>
        </w:rPr>
        <w:t xml:space="preserve">Karafarin Bank</w:t>
      </w:r>
      <w:r>
        <w:br/>
      </w:r>
      <w:r>
        <w:t xml:space="preserve">Tehran, Iran</w:t>
      </w:r>
      <w:r>
        <w:br/>
      </w:r>
      <w:r>
        <w:t xml:space="preserve">March 2010 – May 2012</w:t>
      </w:r>
    </w:p>
    <w:p>
      <w:pPr>
        <w:numPr>
          <w:ilvl w:val="0"/>
          <w:numId w:val="1003"/>
        </w:numPr>
        <w:pStyle w:val="Compact"/>
      </w:pPr>
      <w:r>
        <w:t xml:space="preserve">Supported the banking team in processing transactions, maintaining customer records, and resolving account-related issues for clients in Tehran.</w:t>
      </w:r>
    </w:p>
    <w:p>
      <w:pPr>
        <w:numPr>
          <w:ilvl w:val="0"/>
          <w:numId w:val="1003"/>
        </w:numPr>
        <w:pStyle w:val="Compact"/>
      </w:pPr>
      <w:r>
        <w:t xml:space="preserve">Assisted in the development of internal policies to improve operational efficiency and compliance with Iran's Central Bank regulations.</w:t>
      </w:r>
    </w:p>
    <w:p>
      <w:pPr>
        <w:numPr>
          <w:ilvl w:val="0"/>
          <w:numId w:val="1003"/>
        </w:numPr>
        <w:pStyle w:val="Compact"/>
      </w:pPr>
      <w:r>
        <w:t xml:space="preserve">Participated in workshops on Islamic finance, which are critical for banks operating in Tehran and other regions of Iran.</w:t>
      </w:r>
    </w:p>
    <w:bookmarkEnd w:id="24"/>
    <w:bookmarkEnd w:id="25"/>
    <w:bookmarkStart w:id="28" w:name="educational-background"/>
    <w:p>
      <w:pPr>
        <w:pStyle w:val="Heading2"/>
      </w:pPr>
      <w:r>
        <w:t xml:space="preserve">Educational Background</w:t>
      </w:r>
    </w:p>
    <w:bookmarkStart w:id="26" w:name="msc-in-banking-and-finance"/>
    <w:p>
      <w:pPr>
        <w:pStyle w:val="Heading3"/>
      </w:pPr>
      <w:r>
        <w:t xml:space="preserve">MSc in Banking and Finance</w:t>
      </w:r>
    </w:p>
    <w:p>
      <w:pPr>
        <w:pStyle w:val="FirstParagraph"/>
      </w:pPr>
      <w:r>
        <w:rPr>
          <w:bCs/>
          <w:b/>
        </w:rPr>
        <w:t xml:space="preserve">Tehran University of Science and Technology (TUST)</w:t>
      </w:r>
      <w:r>
        <w:br/>
      </w:r>
      <w:r>
        <w:t xml:space="preserve">Tehran, Iran</w:t>
      </w:r>
      <w:r>
        <w:br/>
      </w:r>
      <w:r>
        <w:t xml:space="preserve">Graduated: 2010</w:t>
      </w:r>
    </w:p>
    <w:p>
      <w:pPr>
        <w:numPr>
          <w:ilvl w:val="0"/>
          <w:numId w:val="1004"/>
        </w:numPr>
        <w:pStyle w:val="Compact"/>
      </w:pPr>
      <w:r>
        <w:t xml:space="preserve">Specialized in financial management, risk assessment, and Islamic banking principles.</w:t>
      </w:r>
    </w:p>
    <w:p>
      <w:pPr>
        <w:numPr>
          <w:ilvl w:val="0"/>
          <w:numId w:val="1004"/>
        </w:numPr>
        <w:pStyle w:val="Compact"/>
      </w:pPr>
      <w:r>
        <w:t xml:space="preserve">Conducted research on the impact of economic sanctions on Tehran's banking sector.</w:t>
      </w:r>
    </w:p>
    <w:bookmarkEnd w:id="26"/>
    <w:bookmarkStart w:id="27" w:name="bsc-in-economics"/>
    <w:p>
      <w:pPr>
        <w:pStyle w:val="Heading3"/>
      </w:pPr>
      <w:r>
        <w:t xml:space="preserve">BSc in Economics</w:t>
      </w:r>
    </w:p>
    <w:p>
      <w:pPr>
        <w:pStyle w:val="FirstParagraph"/>
      </w:pPr>
      <w:r>
        <w:rPr>
          <w:bCs/>
          <w:b/>
        </w:rPr>
        <w:t xml:space="preserve">Shahid Beheshti University</w:t>
      </w:r>
      <w:r>
        <w:br/>
      </w:r>
      <w:r>
        <w:t xml:space="preserve">Tehran, Iran</w:t>
      </w:r>
      <w:r>
        <w:br/>
      </w:r>
      <w:r>
        <w:t xml:space="preserve">Graduated: 2007</w:t>
      </w:r>
    </w:p>
    <w:bookmarkEnd w:id="27"/>
    <w:bookmarkEnd w:id="28"/>
    <w:bookmarkStart w:id="29" w:name="skills"/>
    <w:p>
      <w:pPr>
        <w:pStyle w:val="Heading2"/>
      </w:pPr>
      <w:r>
        <w:t xml:space="preserve">Skills</w:t>
      </w:r>
    </w:p>
    <w:p>
      <w:pPr>
        <w:numPr>
          <w:ilvl w:val="0"/>
          <w:numId w:val="1005"/>
        </w:numPr>
        <w:pStyle w:val="Compact"/>
      </w:pPr>
      <w:r>
        <w:t xml:space="preserve">Advanced knowledge of Islamic banking practices and their application in Iran's financial system.</w:t>
      </w:r>
    </w:p>
    <w:p>
      <w:pPr>
        <w:numPr>
          <w:ilvl w:val="0"/>
          <w:numId w:val="1005"/>
        </w:numPr>
        <w:pStyle w:val="Compact"/>
      </w:pPr>
      <w:r>
        <w:t xml:space="preserve">Proficient in financial software such as SAP, TCS, and local Iranian banking platforms.</w:t>
      </w:r>
    </w:p>
    <w:p>
      <w:pPr>
        <w:numPr>
          <w:ilvl w:val="0"/>
          <w:numId w:val="1005"/>
        </w:numPr>
        <w:pStyle w:val="Compact"/>
      </w:pPr>
      <w:r>
        <w:t xml:space="preserve">Strong analytical skills for evaluating credit risk and market trends in Tehran's economy.</w:t>
      </w:r>
    </w:p>
    <w:p>
      <w:pPr>
        <w:numPr>
          <w:ilvl w:val="0"/>
          <w:numId w:val="1005"/>
        </w:numPr>
        <w:pStyle w:val="Compact"/>
      </w:pPr>
      <w:r>
        <w:t xml:space="preserve">Certified in the Iran Central Bank’s compliance protocols and anti-money laundering (AML) regulations.</w:t>
      </w:r>
    </w:p>
    <w:p>
      <w:pPr>
        <w:numPr>
          <w:ilvl w:val="0"/>
          <w:numId w:val="1005"/>
        </w:numPr>
        <w:pStyle w:val="Compact"/>
      </w:pPr>
      <w:r>
        <w:t xml:space="preserve">Fluent in Persian (Farsi) and English, with basic proficiency in Arabic for international banking operations.</w:t>
      </w:r>
    </w:p>
    <w:bookmarkEnd w:id="29"/>
    <w:bookmarkStart w:id="30" w:name="certifications"/>
    <w:p>
      <w:pPr>
        <w:pStyle w:val="Heading2"/>
      </w:pPr>
      <w:r>
        <w:t xml:space="preserve">Certifications</w:t>
      </w:r>
    </w:p>
    <w:p>
      <w:pPr>
        <w:numPr>
          <w:ilvl w:val="0"/>
          <w:numId w:val="1006"/>
        </w:numPr>
        <w:pStyle w:val="Compact"/>
      </w:pPr>
      <w:r>
        <w:rPr>
          <w:bCs/>
          <w:b/>
        </w:rPr>
        <w:t xml:space="preserve">Certified Islamic Banking Professional (CIBP)</w:t>
      </w:r>
      <w:r>
        <w:t xml:space="preserve"> </w:t>
      </w:r>
      <w:r>
        <w:t xml:space="preserve">– Institute of Islamic Banking and Insurance, 2015</w:t>
      </w:r>
    </w:p>
    <w:p>
      <w:pPr>
        <w:numPr>
          <w:ilvl w:val="0"/>
          <w:numId w:val="1006"/>
        </w:numPr>
        <w:pStyle w:val="Compact"/>
      </w:pPr>
      <w:r>
        <w:rPr>
          <w:bCs/>
          <w:b/>
        </w:rPr>
        <w:t xml:space="preserve">Chartered Financial Analyst (CFA) Level II</w:t>
      </w:r>
      <w:r>
        <w:t xml:space="preserve"> </w:t>
      </w:r>
      <w:r>
        <w:t xml:space="preserve">– CFA Institute, 2017</w:t>
      </w:r>
    </w:p>
    <w:p>
      <w:pPr>
        <w:numPr>
          <w:ilvl w:val="0"/>
          <w:numId w:val="1006"/>
        </w:numPr>
        <w:pStyle w:val="Compact"/>
      </w:pPr>
      <w:r>
        <w:rPr>
          <w:bCs/>
          <w:b/>
        </w:rPr>
        <w:t xml:space="preserve">Certification in Risk Management (CRM)</w:t>
      </w:r>
      <w:r>
        <w:t xml:space="preserve"> </w:t>
      </w:r>
      <w:r>
        <w:t xml:space="preserve">– Tehran Chamber of Commerce, 2019</w:t>
      </w:r>
    </w:p>
    <w:bookmarkEnd w:id="30"/>
    <w:bookmarkStart w:id="31" w:name="languages"/>
    <w:p>
      <w:pPr>
        <w:pStyle w:val="Heading2"/>
      </w:pPr>
      <w:r>
        <w:t xml:space="preserve">Languages</w:t>
      </w:r>
    </w:p>
    <w:p>
      <w:pPr>
        <w:numPr>
          <w:ilvl w:val="0"/>
          <w:numId w:val="1007"/>
        </w:numPr>
        <w:pStyle w:val="Compact"/>
      </w:pPr>
      <w:r>
        <w:t xml:space="preserve">Persian (Farsi) – Native proficiency</w:t>
      </w:r>
    </w:p>
    <w:p>
      <w:pPr>
        <w:numPr>
          <w:ilvl w:val="0"/>
          <w:numId w:val="1007"/>
        </w:numPr>
        <w:pStyle w:val="Compact"/>
      </w:pPr>
      <w:r>
        <w:t xml:space="preserve">English – Advanced written and spoken</w:t>
      </w:r>
    </w:p>
    <w:p>
      <w:pPr>
        <w:numPr>
          <w:ilvl w:val="0"/>
          <w:numId w:val="1007"/>
        </w:numPr>
        <w:pStyle w:val="Compact"/>
      </w:pPr>
      <w:r>
        <w:t xml:space="preserve">Arabic – Basic communication skills</w:t>
      </w:r>
    </w:p>
    <w:bookmarkEnd w:id="31"/>
    <w:bookmarkStart w:id="32" w:name="professional-affiliations"/>
    <w:p>
      <w:pPr>
        <w:pStyle w:val="Heading2"/>
      </w:pPr>
      <w:r>
        <w:t xml:space="preserve">Professional Affiliations</w:t>
      </w:r>
    </w:p>
    <w:p>
      <w:pPr>
        <w:numPr>
          <w:ilvl w:val="0"/>
          <w:numId w:val="1008"/>
        </w:numPr>
        <w:pStyle w:val="Compact"/>
      </w:pPr>
      <w:r>
        <w:t xml:space="preserve">Member of the Iranian Bankers Association (IBA), Tehran Chapter (2015 – Present)</w:t>
      </w:r>
    </w:p>
    <w:p>
      <w:pPr>
        <w:numPr>
          <w:ilvl w:val="0"/>
          <w:numId w:val="1008"/>
        </w:numPr>
        <w:pStyle w:val="Compact"/>
      </w:pPr>
      <w:r>
        <w:t xml:space="preserve">Volunteer for the Tehran Financial Literacy Initiative, 2016–2018</w:t>
      </w:r>
    </w:p>
    <w:bookmarkEnd w:id="32"/>
    <w:bookmarkStart w:id="33" w:name="references"/>
    <w:p>
      <w:pPr>
        <w:pStyle w:val="Heading2"/>
      </w:pPr>
      <w:r>
        <w:t xml:space="preserve">References</w:t>
      </w:r>
    </w:p>
    <w:p>
      <w:pPr>
        <w:pStyle w:val="FirstParagraph"/>
      </w:pPr>
      <w:r>
        <w:t xml:space="preserve">Available upon request. References include senior executives from National Bank of Iran, Parsian Bank, and academic advisors from Tehran University of Science and Technology.</w:t>
      </w:r>
    </w:p>
    <w:p>
      <w:pPr>
        <w:pStyle w:val="BodyText"/>
      </w:pPr>
      <w:r>
        <w:rPr>
          <w:iCs/>
          <w:i/>
        </w:rPr>
        <w:t xml:space="preserve">This Curriculum Vitae is tailored for a Banker in Iran Tehran, emphasizing expertise in the region's financial ecosystem. It aligns with the professional standards and regulatory requirements specific to the banking sector in Tehran.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Iran Tehran</dc:title>
  <dc:creator/>
  <dc:language>en</dc:language>
  <cp:keywords/>
  <dcterms:created xsi:type="dcterms:W3CDTF">2026-07-23T01:55:04Z</dcterms:created>
  <dcterms:modified xsi:type="dcterms:W3CDTF">2026-07-23T01:55:04Z</dcterms:modified>
</cp:coreProperties>
</file>

<file path=docProps/custom.xml><?xml version="1.0" encoding="utf-8"?>
<Properties xmlns="http://schemas.openxmlformats.org/officeDocument/2006/custom-properties" xmlns:vt="http://schemas.openxmlformats.org/officeDocument/2006/docPropsVTypes"/>
</file>