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XXX XXX 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[X years] of expertise in the financial sector, specializing in banking operations, risk management, and client relationship development within Iraq Baghdad. A proven track record of delivering innovative solutions to meet the evolving needs of clients while adhering to stringent regulatory standards. Committed to fostering trust and long-term partnerships in a dynamic environment shaped by the unique challenges and opportunities of Iraq's financial landscape.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University of Baghdad</w:t>
      </w:r>
      <w:r>
        <w:t xml:space="preserve">, Baghdad, Iraq</w:t>
      </w:r>
      <w:r>
        <w:br/>
      </w:r>
      <w:r>
        <w:t xml:space="preserve">Graduated: [Year]</w:t>
      </w:r>
    </w:p>
    <w:bookmarkEnd w:id="22"/>
    <w:bookmarkStart w:id="23" w:name="X79c160f43099addbdddffa4f786aa768ad235ea"/>
    <w:p>
      <w:pPr>
        <w:pStyle w:val="Heading3"/>
      </w:pPr>
      <w:r>
        <w:t xml:space="preserve">Certification in Banking and Financial Services</w:t>
      </w:r>
    </w:p>
    <w:p>
      <w:pPr>
        <w:pStyle w:val="FirstParagraph"/>
      </w:pPr>
      <w:r>
        <w:rPr>
          <w:bCs/>
          <w:b/>
        </w:rPr>
        <w:t xml:space="preserve">Iraqi Institute of Banking and Financial Studies</w:t>
      </w:r>
      <w:r>
        <w:t xml:space="preserve">, Baghdad, Iraq</w:t>
      </w:r>
      <w:r>
        <w:br/>
      </w:r>
      <w:r>
        <w:t xml:space="preserve">Completed: [Year]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National Bank of Iraq (NBI)</w:t>
      </w:r>
      <w:r>
        <w:t xml:space="preserve">, Baghdad, Iraq</w:t>
      </w:r>
      <w:r>
        <w:br/>
      </w:r>
      <w:r>
        <w:rPr>
          <w:iCs/>
          <w:i/>
        </w:rPr>
        <w:t xml:space="preserve">[Month/Year] – [Month/Year]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200 high-net-worth individuals and corporate clients, driving revenue growth by 18% annually through tailored financial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the risk management team to develop credit assessment frameworks aligned with Iraqi Central Bank regulations, reducing default rates by 12% in three years.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investment strategies, loan structures, and wealth management services to clients in Baghdad and surrounding regions.</w:t>
      </w:r>
    </w:p>
    <w:p>
      <w:pPr>
        <w:numPr>
          <w:ilvl w:val="0"/>
          <w:numId w:val="1001"/>
        </w:numPr>
        <w:pStyle w:val="Compact"/>
      </w:pPr>
      <w:r>
        <w:t xml:space="preserve">Organized workshops for small businesses in Baghdad to enhance their financial literacy and access to banking products, fostering economic growth in the local community.</w:t>
      </w:r>
    </w:p>
    <w:bookmarkEnd w:id="25"/>
    <w:bookmarkStart w:id="26" w:name="risk-analyst"/>
    <w:p>
      <w:pPr>
        <w:pStyle w:val="Heading3"/>
      </w:pPr>
      <w:r>
        <w:t xml:space="preserve">Risk Analyst</w:t>
      </w:r>
    </w:p>
    <w:p>
      <w:pPr>
        <w:pStyle w:val="FirstParagraph"/>
      </w:pPr>
      <w:r>
        <w:rPr>
          <w:bCs/>
          <w:b/>
        </w:rPr>
        <w:t xml:space="preserve">Commercial Bank of Iraq (CBI)</w:t>
      </w:r>
      <w:r>
        <w:t xml:space="preserve">, Baghdad, Iraq</w:t>
      </w:r>
      <w:r>
        <w:br/>
      </w:r>
      <w:r>
        <w:rPr>
          <w:iCs/>
          <w:i/>
        </w:rP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credit risk and market trends to support informed decision-making for loan approvals and portfolio management.</w:t>
      </w:r>
    </w:p>
    <w:p>
      <w:pPr>
        <w:numPr>
          <w:ilvl w:val="0"/>
          <w:numId w:val="1002"/>
        </w:numPr>
        <w:pStyle w:val="Compact"/>
      </w:pPr>
      <w:r>
        <w:t xml:space="preserve">Implemented data-driven tools to monitor compliance with Iraq Baghdad's financial regulations, ensuring adherence to international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risk assessment platform adopted by 15 branches across Iraq, improving operational efficiency by 20%.</w:t>
      </w:r>
    </w:p>
    <w:p>
      <w:pPr>
        <w:numPr>
          <w:ilvl w:val="0"/>
          <w:numId w:val="1002"/>
        </w:numPr>
        <w:pStyle w:val="Compact"/>
      </w:pPr>
      <w:r>
        <w:t xml:space="preserve">Partnered with the treasury department to optimize cash flow management strategies, enhancing liquidity for over 500 business clients in Baghdad.</w:t>
      </w:r>
    </w:p>
    <w:bookmarkEnd w:id="26"/>
    <w:bookmarkStart w:id="27" w:name="customer-service-executive"/>
    <w:p>
      <w:pPr>
        <w:pStyle w:val="Heading3"/>
      </w:pPr>
      <w:r>
        <w:t xml:space="preserve">Customer Service Executive</w:t>
      </w:r>
    </w:p>
    <w:p>
      <w:pPr>
        <w:pStyle w:val="FirstParagraph"/>
      </w:pPr>
      <w:r>
        <w:rPr>
          <w:bCs/>
          <w:b/>
        </w:rPr>
        <w:t xml:space="preserve">Bank of Mesopotamia</w:t>
      </w:r>
      <w:r>
        <w:t xml:space="preserve">, Baghdad, Iraq</w:t>
      </w:r>
      <w:r>
        <w:br/>
      </w:r>
      <w:r>
        <w:rPr>
          <w:iCs/>
          <w:i/>
        </w:rP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Delivered exceptional customer service to 1,000+ clients annually, resolving queries related to account management, loans, and digital banking services.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rollout of mobile banking services in Baghdad, increasing user adoption by 35% within six months.</w:t>
      </w:r>
    </w:p>
    <w:p>
      <w:pPr>
        <w:numPr>
          <w:ilvl w:val="0"/>
          <w:numId w:val="1003"/>
        </w:numPr>
        <w:pStyle w:val="Compact"/>
      </w:pPr>
      <w:r>
        <w:t xml:space="preserve">Trained new team members on customer interaction protocols and Iraqi Central Bank guidelines to maintain service quality standards.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financial statements, credit risk assessment, and investment portfolio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and maintaining long-term partnerships with clients in Iraq Baghdad's diverse business sectors.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Experienced in identifying, mitigating, and monitoring financial risks to ensure compliance with local and international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Adept at using banking software (e.g., SAP, Oracle) and digital tools for data analysis and client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Arabic (native) and English (fluent), with the ability to articulate complex financial concepts clearly.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CFA Level II Candidate – Chartered Financial Analyst Institute</w:t>
      </w:r>
    </w:p>
    <w:p>
      <w:pPr>
        <w:numPr>
          <w:ilvl w:val="0"/>
          <w:numId w:val="1005"/>
        </w:numPr>
        <w:pStyle w:val="Compact"/>
      </w:pPr>
      <w:r>
        <w:t xml:space="preserve">FRM (Financial Risk Manager) Certification – GARP</w:t>
      </w:r>
    </w:p>
    <w:p>
      <w:pPr>
        <w:numPr>
          <w:ilvl w:val="0"/>
          <w:numId w:val="1005"/>
        </w:numPr>
        <w:pStyle w:val="Compact"/>
      </w:pPr>
      <w:r>
        <w:t xml:space="preserve">Microsoft Excel Advanced Certification – Microsoft Office Specialist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(IELTS 7.5)</w:t>
      </w:r>
    </w:p>
    <w:p>
      <w:pPr>
        <w:numPr>
          <w:ilvl w:val="0"/>
          <w:numId w:val="1006"/>
        </w:numPr>
        <w:pStyle w:val="Compact"/>
      </w:pPr>
      <w:r>
        <w:t xml:space="preserve">French: Basic proficiency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Iraqi Banking Association (IBA)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Association of Chartered Certified Accountants (ACCA)</w:t>
      </w:r>
      <w:r>
        <w:t xml:space="preserve"> </w:t>
      </w:r>
      <w:r>
        <w:t xml:space="preserve">– Affiliate member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 from National Bank of Iraq and Commercial Bank of Iraq, as well as industry peers in Baghdad's financial sector.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dedicated Banker committed to excellence in banking services within Iraq Baghdad. The integration of technical expertise, cultural awareness, and a deep understanding of the region's financial ecosystem positions the candidate as an ideal candidate for roles requiring leadership and innovation in the banking industry.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Iraq Baghdad</dc:title>
  <dc:creator/>
  <dc:language>en</dc:language>
  <cp:keywords/>
  <dcterms:created xsi:type="dcterms:W3CDTF">2025-12-05T10:08:43Z</dcterms:created>
  <dcterms:modified xsi:type="dcterms:W3CDTF">2025-12-05T10:08:43Z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