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+81 3-XXXX-XXXX | [Your Email Address] | Tokyo, Japan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Banker with over a decade of experience in the dynamic financial landscape of Japan Tokyo, specializing in corporate banking, wealth management, and cross-border financial services. Demonstrated expertise in building long-term client relationships, driving sustainable growth, and navigating the complexities of Japan’s regulatory environment. Adept at leveraging market insights to deliver tailored solutions for multinational corporations and high-net-worth individuals. Committed to upholding the highest standards of integrity and professionalism within the Japanese banking sector.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bb506740f8d45cdf4b5d28b4484e01637bc3aa5"/>
    <w:p>
      <w:pPr>
        <w:pStyle w:val="Heading3"/>
      </w:pPr>
      <w:r>
        <w:t xml:space="preserve">Sr. Banker | Mitsubishi UFJ Trust &amp; Banking Corporation (Tokyo)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50+ corporate clients, including automotive and technology firms, focusing on credit risk assessment and structured financial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the Tokyo branch’s international division to facilitate trade finance transactions between Japanese and European markets.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on asset allocation and investment planning for high-net-worth clients, resulting in a 25% increase in client satisfaction scores (2021).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digital banking initiative targeting SMEs, enhancing customer engagement by 40% within one year.</w:t>
      </w:r>
    </w:p>
    <w:bookmarkEnd w:id="21"/>
    <w:bookmarkStart w:id="22" w:name="banker-mizuho-corporate-bank-ltd.-tokyo"/>
    <w:p>
      <w:pPr>
        <w:pStyle w:val="Heading3"/>
      </w:pPr>
      <w:r>
        <w:t xml:space="preserve">Banker | Mizuho Corporate Bank, Ltd. (Tokyo)</w:t>
      </w:r>
    </w:p>
    <w:p>
      <w:pPr>
        <w:pStyle w:val="FirstParagraph"/>
      </w:pPr>
      <w:r>
        <w:rPr>
          <w:iCs/>
          <w:i/>
        </w:rPr>
        <w:t xml:space="preserve">August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expansion of corporate lending operations in the Tokyo metropolitan area, securing over ¥5 billion in new credit lines annually.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clients and internal departments to streamline loan approval processes, reducing turnaround time by 30%.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on emerging sectors such as renewable energy and fintech to identify investment opportunities for clients.</w:t>
      </w:r>
    </w:p>
    <w:p>
      <w:pPr>
        <w:numPr>
          <w:ilvl w:val="0"/>
          <w:numId w:val="1002"/>
        </w:numPr>
        <w:pStyle w:val="Compact"/>
      </w:pPr>
      <w:r>
        <w:t xml:space="preserve">Organized workshops on financial literacy for small business owners in Tokyo, fostering community trust and brand loyalty.</w:t>
      </w:r>
    </w:p>
    <w:bookmarkEnd w:id="22"/>
    <w:bookmarkStart w:id="23" w:name="Xfc3723d1caa064b7a3e352e24f310fd7ce91726"/>
    <w:p>
      <w:pPr>
        <w:pStyle w:val="Heading3"/>
      </w:pPr>
      <w:r>
        <w:t xml:space="preserve">Jr. Banker | Sumitomo Mitsui Banking Corporation (SMBC) (Tokyo)</w:t>
      </w:r>
    </w:p>
    <w:p>
      <w:pPr>
        <w:pStyle w:val="FirstParagraph"/>
      </w:pPr>
      <w:r>
        <w:rPr>
          <w:iCs/>
          <w:i/>
        </w:rPr>
        <w:t xml:space="preserve">July 2011 – July 2014</w:t>
      </w:r>
    </w:p>
    <w:p>
      <w:pPr>
        <w:numPr>
          <w:ilvl w:val="0"/>
          <w:numId w:val="1003"/>
        </w:numPr>
        <w:pStyle w:val="Compact"/>
      </w:pPr>
      <w:r>
        <w:t xml:space="preserve">Assisted in the onboarding of new clients, ensuring compliance with Japan’s Financial Services Agency (FSA) regulations.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customer relationship management (CRM) strategies to enhance client retention rates by 20%.</w:t>
      </w:r>
    </w:p>
    <w:p>
      <w:pPr>
        <w:numPr>
          <w:ilvl w:val="0"/>
          <w:numId w:val="1003"/>
        </w:numPr>
        <w:pStyle w:val="Compact"/>
      </w:pPr>
      <w:r>
        <w:t xml:space="preserve">Provided financial advisory services for M&amp;A transactions, contributing to successful deal closures valued at over ¥10 billion.</w:t>
      </w:r>
    </w:p>
    <w:p>
      <w:pPr>
        <w:numPr>
          <w:ilvl w:val="0"/>
          <w:numId w:val="1003"/>
        </w:numPr>
        <w:pStyle w:val="Compact"/>
      </w:pPr>
      <w:r>
        <w:t xml:space="preserve">Participated in cross-functional teams to design digital payment solutions for Tokyo-based SMEs, aligning with Japan’s push toward cashless transactions.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ba-in-finance-keio-university-tokyo"/>
    <w:p>
      <w:pPr>
        <w:pStyle w:val="Heading3"/>
      </w:pPr>
      <w:r>
        <w:t xml:space="preserve">MBA in Finance | Keio University (Tokyo)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pStyle w:val="BodyText"/>
      </w:pPr>
      <w:r>
        <w:t xml:space="preserve">Specialized in corporate finance and international business strategy, with a thesis on "The Role of Japanese Banks in Global Supply Chain Financing."</w:t>
      </w:r>
    </w:p>
    <w:bookmarkEnd w:id="25"/>
    <w:bookmarkStart w:id="26" w:name="X2b60a3cc5547692f89661e2b50691be11c7f321"/>
    <w:p>
      <w:pPr>
        <w:pStyle w:val="Heading3"/>
      </w:pPr>
      <w:r>
        <w:t xml:space="preserve">Bachelor of Economics | The University of Tokyo</w:t>
      </w:r>
    </w:p>
    <w:p>
      <w:pPr>
        <w:pStyle w:val="FirstParagraph"/>
      </w:pPr>
      <w:r>
        <w:rPr>
          <w:iCs/>
          <w:i/>
        </w:rPr>
        <w:t xml:space="preserve">Graduated: March 2008</w:t>
      </w:r>
    </w:p>
    <w:p>
      <w:pPr>
        <w:pStyle w:val="BodyText"/>
      </w:pPr>
      <w:r>
        <w:t xml:space="preserve">Major in Financial Economics, with a focus on macroeconomic policies and their impact on banking systems. Member of the Economic Society, participating in policy debates and research projects.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Services:</w:t>
      </w:r>
      <w:r>
        <w:t xml:space="preserve"> </w:t>
      </w:r>
      <w:r>
        <w:t xml:space="preserve">Corporate lending, trade finance, wealth management, risk assessment.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level), proficient in English and Mandarin (business proficiency).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Japan’s Financial Instruments and Exchange Act (FIEA) and anti-money laundering (AML)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Experience with blockchain-based solutions, AI-driven analytics, and mobile banking platforms in the Tokyo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Skilled in bridging cultural gaps between Japanese and international clients through effective negotiation and collaboration.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Qualification for Financial Planners (CFP):</w:t>
      </w:r>
      <w:r>
        <w:t xml:space="preserve"> </w:t>
      </w:r>
      <w:r>
        <w:t xml:space="preserve">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 Level III:</w:t>
      </w:r>
      <w:r>
        <w:t xml:space="preserve"> </w:t>
      </w:r>
      <w:r>
        <w:t xml:space="preserve">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 Financial Instruments and Exchange Act License:</w:t>
      </w:r>
      <w:r>
        <w:t xml:space="preserve"> </w:t>
      </w:r>
      <w:r>
        <w:t xml:space="preserve">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Anti-Money Laundering Specialist (CAMS):</w:t>
      </w:r>
      <w:r>
        <w:t xml:space="preserve"> </w:t>
      </w:r>
      <w:r>
        <w:t xml:space="preserve">2019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Bankers Association (JBA):</w:t>
      </w:r>
      <w:r>
        <w:t xml:space="preserve"> </w:t>
      </w:r>
      <w:r>
        <w:t xml:space="preserve">Member since 2018, actively participating in industry forums and policy discussions.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 Institute of Certified Public Accountants (JICPA):</w:t>
      </w:r>
      <w:r>
        <w:t xml:space="preserve"> </w:t>
      </w:r>
      <w:r>
        <w:t xml:space="preserve">Affiliate member, staying updated on financial reporting standards.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financial literacy programs organized by Tokyo-based NGOs, targeting underrepresented communities.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"The Future of Banking in Japan" for the Tokyo Business Journal (2020) and "SME Financing Strategies in a Post-Pandemic Era" (2021).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Banker roles in Japan Tokyo, emphasizing expertise, cultural competence, and alignment with the Japanese financial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Banker in Japan Tokyo</dc:title>
  <dc:creator/>
  <dc:language>en</dc:language>
  <cp:keywords/>
  <dcterms:created xsi:type="dcterms:W3CDTF">2025-12-05T04:07:23Z</dcterms:created>
  <dcterms:modified xsi:type="dcterms:W3CDTF">2025-12-05T04:07:23Z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