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Banker</w:t>
      </w:r>
      <w:r>
        <w:t xml:space="preserve"> </w:t>
      </w:r>
      <w:r>
        <w:t xml:space="preserve">in</w:t>
      </w:r>
      <w:r>
        <w:t xml:space="preserve"> </w:t>
      </w:r>
      <w:r>
        <w:t xml:space="preserve">Saudi</w:t>
      </w:r>
      <w:r>
        <w:t xml:space="preserve"> </w:t>
      </w:r>
      <w:r>
        <w:t xml:space="preserve">Arabia</w:t>
      </w:r>
      <w:r>
        <w:t xml:space="preserve"> </w:t>
      </w:r>
      <w:r>
        <w:t xml:space="preserve">Riyadh</w:t>
      </w:r>
    </w:p>
    <w:bookmarkStart w:id="31"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Ahmed Mohammed Al-Faraj</w:t>
      </w:r>
      <w:r>
        <w:br/>
      </w:r>
      <w:r>
        <w:rPr>
          <w:bCs/>
          <w:b/>
        </w:rPr>
        <w:t xml:space="preserve">Address:</w:t>
      </w:r>
      <w:r>
        <w:t xml:space="preserve"> </w:t>
      </w:r>
      <w:r>
        <w:t xml:space="preserve">Riyadh, Saudi Arabia</w:t>
      </w:r>
      <w:r>
        <w:br/>
      </w:r>
      <w:r>
        <w:rPr>
          <w:bCs/>
          <w:b/>
        </w:rPr>
        <w:t xml:space="preserve">Email:</w:t>
      </w:r>
      <w:r>
        <w:t xml:space="preserve"> </w:t>
      </w:r>
      <w:r>
        <w:t xml:space="preserve">ahmed.al-faraj@banking.sa</w:t>
      </w:r>
      <w:r>
        <w:br/>
      </w:r>
      <w:r>
        <w:rPr>
          <w:bCs/>
          <w:b/>
        </w:rPr>
        <w:t xml:space="preserve">Phone:</w:t>
      </w:r>
      <w:r>
        <w:t xml:space="preserve"> </w:t>
      </w:r>
      <w:r>
        <w:t xml:space="preserve">+966 50 123 4567</w:t>
      </w:r>
    </w:p>
    <w:bookmarkEnd w:id="20"/>
    <w:bookmarkStart w:id="21" w:name="professional-summary"/>
    <w:p>
      <w:pPr>
        <w:pStyle w:val="Heading2"/>
      </w:pPr>
      <w:r>
        <w:t xml:space="preserve">Professional Summary</w:t>
      </w:r>
    </w:p>
    <w:p>
      <w:pPr>
        <w:pStyle w:val="FirstParagraph"/>
      </w:pPr>
      <w:r>
        <w:t xml:space="preserve">A seasoned banker with over a decade of experience in the financial sector, specializing in corporate banking and wealth management within Saudi Arabia. Proven expertise in delivering tailored financial solutions to high-net-worth individuals and enterprises in Riyadh. Committed to upholding the highest standards of integrity, compliance, and customer-centric service aligned with the Kingdom’s Vision 2030 goals. Adept at navigating the dynamic banking landscape of Saudi Arabia, leveraging local market insights and global best practices to drive sustainable growth.</w:t>
      </w:r>
    </w:p>
    <w:bookmarkEnd w:id="21"/>
    <w:bookmarkStart w:id="25" w:name="professional-experience"/>
    <w:p>
      <w:pPr>
        <w:pStyle w:val="Heading2"/>
      </w:pPr>
      <w:r>
        <w:t xml:space="preserve">Professional Experience</w:t>
      </w:r>
    </w:p>
    <w:bookmarkStart w:id="22" w:name="senior-relationship-manager"/>
    <w:p>
      <w:pPr>
        <w:pStyle w:val="Heading3"/>
      </w:pPr>
      <w:r>
        <w:t xml:space="preserve">Senior Relationship Manager</w:t>
      </w:r>
    </w:p>
    <w:p>
      <w:pPr>
        <w:pStyle w:val="FirstParagraph"/>
      </w:pPr>
      <w:r>
        <w:rPr>
          <w:bCs/>
          <w:b/>
        </w:rPr>
        <w:t xml:space="preserve">Al Rajhi Bank, Riyadh, Saudi Arabia</w:t>
      </w:r>
      <w:r>
        <w:br/>
      </w:r>
      <w:r>
        <w:t xml:space="preserve">January 2018 – Present</w:t>
      </w:r>
    </w:p>
    <w:p>
      <w:pPr>
        <w:numPr>
          <w:ilvl w:val="0"/>
          <w:numId w:val="1001"/>
        </w:numPr>
        <w:pStyle w:val="Compact"/>
      </w:pPr>
      <w:r>
        <w:t xml:space="preserve">Managed a portfolio of 150+ corporate clients, including multinational corporations and SMEs in Riyadh, ensuring tailored banking solutions to meet their financial needs.</w:t>
      </w:r>
    </w:p>
    <w:p>
      <w:pPr>
        <w:numPr>
          <w:ilvl w:val="0"/>
          <w:numId w:val="1001"/>
        </w:numPr>
        <w:pStyle w:val="Compact"/>
      </w:pPr>
      <w:r>
        <w:t xml:space="preserve">Developed and executed strategic initiatives to enhance client retention rates by 25%, contributing to the bank’s regional growth targets.</w:t>
      </w:r>
    </w:p>
    <w:p>
      <w:pPr>
        <w:numPr>
          <w:ilvl w:val="0"/>
          <w:numId w:val="1001"/>
        </w:numPr>
        <w:pStyle w:val="Compact"/>
      </w:pPr>
      <w:r>
        <w:t xml:space="preserve">Collaborated with internal departments to streamline credit approval processes, reducing turnaround time by 30% and improving client satisfaction scores.</w:t>
      </w:r>
    </w:p>
    <w:p>
      <w:pPr>
        <w:numPr>
          <w:ilvl w:val="0"/>
          <w:numId w:val="1001"/>
        </w:numPr>
        <w:pStyle w:val="Compact"/>
      </w:pPr>
      <w:r>
        <w:t xml:space="preserve">Provided expert guidance on Islamic finance principles and compliance with Saudi Central Bank (SAMA) regulations, aligning with the Kingdom’s financial sector reforms.</w:t>
      </w:r>
    </w:p>
    <w:p>
      <w:pPr>
        <w:numPr>
          <w:ilvl w:val="0"/>
          <w:numId w:val="1001"/>
        </w:numPr>
        <w:pStyle w:val="Compact"/>
      </w:pPr>
      <w:r>
        <w:t xml:space="preserve">Represented the bank at industry events in Riyadh, fostering partnerships with local business associations to expand market reach.</w:t>
      </w:r>
    </w:p>
    <w:bookmarkEnd w:id="22"/>
    <w:bookmarkStart w:id="23" w:name="credit-risk-analyst"/>
    <w:p>
      <w:pPr>
        <w:pStyle w:val="Heading3"/>
      </w:pPr>
      <w:r>
        <w:t xml:space="preserve">Credit Risk Analyst</w:t>
      </w:r>
    </w:p>
    <w:p>
      <w:pPr>
        <w:pStyle w:val="FirstParagraph"/>
      </w:pPr>
      <w:r>
        <w:rPr>
          <w:bCs/>
          <w:b/>
        </w:rPr>
        <w:t xml:space="preserve">Banque Saudi Fransi, Riyadh, Saudi Arabia</w:t>
      </w:r>
      <w:r>
        <w:br/>
      </w:r>
      <w:r>
        <w:t xml:space="preserve">June 2014 – December 2017</w:t>
      </w:r>
    </w:p>
    <w:p>
      <w:pPr>
        <w:numPr>
          <w:ilvl w:val="0"/>
          <w:numId w:val="1002"/>
        </w:numPr>
        <w:pStyle w:val="Compact"/>
      </w:pPr>
      <w:r>
        <w:t xml:space="preserve">Assessed creditworthiness of corporate and individual borrowers, contributing to the development of risk mitigation frameworks that reduced non-performing loans by 18%.</w:t>
      </w:r>
    </w:p>
    <w:p>
      <w:pPr>
        <w:numPr>
          <w:ilvl w:val="0"/>
          <w:numId w:val="1002"/>
        </w:numPr>
        <w:pStyle w:val="Compact"/>
      </w:pPr>
      <w:r>
        <w:t xml:space="preserve">Utilized advanced data analytics tools to evaluate market trends and economic indicators affecting loan portfolios in Riyadh.</w:t>
      </w:r>
    </w:p>
    <w:p>
      <w:pPr>
        <w:numPr>
          <w:ilvl w:val="0"/>
          <w:numId w:val="1002"/>
        </w:numPr>
        <w:pStyle w:val="Compact"/>
      </w:pPr>
      <w:r>
        <w:t xml:space="preserve">Partnered with the sales team to educate clients on credit products and risk management strategies, enhancing their financial literacy.</w:t>
      </w:r>
    </w:p>
    <w:p>
      <w:pPr>
        <w:numPr>
          <w:ilvl w:val="0"/>
          <w:numId w:val="1002"/>
        </w:numPr>
        <w:pStyle w:val="Compact"/>
      </w:pPr>
      <w:r>
        <w:t xml:space="preserve">Supported the implementation of SAMA’s updated regulatory guidelines, ensuring adherence to Saudi Arabia’s evolving banking standards.</w:t>
      </w:r>
    </w:p>
    <w:bookmarkEnd w:id="23"/>
    <w:bookmarkStart w:id="24" w:name="relationship-executive"/>
    <w:p>
      <w:pPr>
        <w:pStyle w:val="Heading3"/>
      </w:pPr>
      <w:r>
        <w:t xml:space="preserve">Relationship Executive</w:t>
      </w:r>
    </w:p>
    <w:p>
      <w:pPr>
        <w:pStyle w:val="FirstParagraph"/>
      </w:pPr>
      <w:r>
        <w:rPr>
          <w:bCs/>
          <w:b/>
        </w:rPr>
        <w:t xml:space="preserve">National Commercial Bank (NCB), Riyadh, Saudi Arabia</w:t>
      </w:r>
      <w:r>
        <w:br/>
      </w:r>
      <w:r>
        <w:t xml:space="preserve">January 2011 – May 2014</w:t>
      </w:r>
    </w:p>
    <w:p>
      <w:pPr>
        <w:numPr>
          <w:ilvl w:val="0"/>
          <w:numId w:val="1003"/>
        </w:numPr>
        <w:pStyle w:val="Compact"/>
      </w:pPr>
      <w:r>
        <w:t xml:space="preserve">Managed a client base of 50+ high-net-worth individuals in Riyadh, offering personalized investment and wealth management solutions.</w:t>
      </w:r>
    </w:p>
    <w:p>
      <w:pPr>
        <w:numPr>
          <w:ilvl w:val="0"/>
          <w:numId w:val="1003"/>
        </w:numPr>
        <w:pStyle w:val="Compact"/>
      </w:pPr>
      <w:r>
        <w:t xml:space="preserve">Played a key role in the launch of NCB’s digital banking platform, which increased customer engagement by 40% in the first year.</w:t>
      </w:r>
    </w:p>
    <w:p>
      <w:pPr>
        <w:numPr>
          <w:ilvl w:val="0"/>
          <w:numId w:val="1003"/>
        </w:numPr>
        <w:pStyle w:val="Compact"/>
      </w:pPr>
      <w:r>
        <w:t xml:space="preserve">Conducted regular client reviews to identify opportunities for cross-selling products such as insurance, loans, and retirement planning services.</w:t>
      </w:r>
    </w:p>
    <w:p>
      <w:pPr>
        <w:numPr>
          <w:ilvl w:val="0"/>
          <w:numId w:val="1003"/>
        </w:numPr>
        <w:pStyle w:val="Compact"/>
      </w:pPr>
      <w:r>
        <w:t xml:space="preserve">Contributed to the bank’s CSR initiatives in Riyadh, including financial literacy workshops for local communities.</w:t>
      </w:r>
    </w:p>
    <w:bookmarkEnd w:id="24"/>
    <w:bookmarkEnd w:id="25"/>
    <w:bookmarkStart w:id="26" w:name="education"/>
    <w:p>
      <w:pPr>
        <w:pStyle w:val="Heading2"/>
      </w:pPr>
      <w:r>
        <w:t xml:space="preserve">Education</w:t>
      </w:r>
    </w:p>
    <w:p>
      <w:pPr>
        <w:pStyle w:val="FirstParagraph"/>
      </w:pPr>
      <w:r>
        <w:rPr>
          <w:bCs/>
          <w:b/>
        </w:rPr>
        <w:t xml:space="preserve">Bachelor of Science in Finance</w:t>
      </w:r>
      <w:r>
        <w:br/>
      </w:r>
      <w:r>
        <w:t xml:space="preserve">King Saud University, Riyadh, Saudi Arabia</w:t>
      </w:r>
      <w:r>
        <w:br/>
      </w:r>
      <w:r>
        <w:t xml:space="preserve">Graduated: June 2010</w:t>
      </w:r>
    </w:p>
    <w:p>
      <w:pPr>
        <w:pStyle w:val="BodyText"/>
      </w:pPr>
      <w:r>
        <w:rPr>
          <w:bCs/>
          <w:b/>
        </w:rPr>
        <w:t xml:space="preserve">Master of Business Administration (MBA)</w:t>
      </w:r>
      <w:r>
        <w:br/>
      </w:r>
      <w:r>
        <w:t xml:space="preserve">INSEAD, Fontainebleau, France</w:t>
      </w:r>
      <w:r>
        <w:br/>
      </w:r>
      <w:r>
        <w:t xml:space="preserve">Graduated: July 2013</w:t>
      </w:r>
    </w:p>
    <w:bookmarkEnd w:id="26"/>
    <w:bookmarkStart w:id="27" w:name="certifications-training"/>
    <w:p>
      <w:pPr>
        <w:pStyle w:val="Heading2"/>
      </w:pPr>
      <w:r>
        <w:t xml:space="preserve">Certifications &amp; Training</w:t>
      </w:r>
    </w:p>
    <w:p>
      <w:pPr>
        <w:numPr>
          <w:ilvl w:val="0"/>
          <w:numId w:val="1004"/>
        </w:numPr>
        <w:pStyle w:val="Compact"/>
      </w:pPr>
      <w:r>
        <w:t xml:space="preserve">CFA Level III Candidate – Chartered Financial Analyst Institute (CFAI)</w:t>
      </w:r>
    </w:p>
    <w:p>
      <w:pPr>
        <w:numPr>
          <w:ilvl w:val="0"/>
          <w:numId w:val="1004"/>
        </w:numPr>
        <w:pStyle w:val="Compact"/>
      </w:pPr>
      <w:r>
        <w:t xml:space="preserve">Islamic Finance Certification – Saudi Central Bank (SAMA)</w:t>
      </w:r>
    </w:p>
    <w:p>
      <w:pPr>
        <w:numPr>
          <w:ilvl w:val="0"/>
          <w:numId w:val="1004"/>
        </w:numPr>
        <w:pStyle w:val="Compact"/>
      </w:pPr>
      <w:r>
        <w:t xml:space="preserve">Advanced Risk Management Course – Harvard Business School Online</w:t>
      </w:r>
    </w:p>
    <w:p>
      <w:pPr>
        <w:numPr>
          <w:ilvl w:val="0"/>
          <w:numId w:val="1004"/>
        </w:numPr>
        <w:pStyle w:val="Compact"/>
      </w:pPr>
      <w:r>
        <w:t xml:space="preserve">Saudi Banking Compliance Training Program – Al Rajhi Bank, Riyadh</w:t>
      </w:r>
    </w:p>
    <w:bookmarkEnd w:id="27"/>
    <w:bookmarkStart w:id="28" w:name="skills"/>
    <w:p>
      <w:pPr>
        <w:pStyle w:val="Heading2"/>
      </w:pPr>
      <w:r>
        <w:t xml:space="preserve">Skills</w:t>
      </w:r>
    </w:p>
    <w:p>
      <w:pPr>
        <w:numPr>
          <w:ilvl w:val="0"/>
          <w:numId w:val="1005"/>
        </w:numPr>
        <w:pStyle w:val="Compact"/>
      </w:pPr>
      <w:r>
        <w:rPr>
          <w:bCs/>
          <w:b/>
        </w:rPr>
        <w:t xml:space="preserve">Financial Analysis:</w:t>
      </w:r>
      <w:r>
        <w:t xml:space="preserve"> </w:t>
      </w:r>
      <w:r>
        <w:t xml:space="preserve">Proficient in evaluating financial statements, risk assessments, and investment portfolios.</w:t>
      </w:r>
    </w:p>
    <w:p>
      <w:pPr>
        <w:numPr>
          <w:ilvl w:val="0"/>
          <w:numId w:val="1005"/>
        </w:numPr>
        <w:pStyle w:val="Compact"/>
      </w:pPr>
      <w:r>
        <w:rPr>
          <w:bCs/>
          <w:b/>
        </w:rPr>
        <w:t xml:space="preserve">Client Relationship Management:</w:t>
      </w:r>
      <w:r>
        <w:t xml:space="preserve"> </w:t>
      </w:r>
      <w:r>
        <w:t xml:space="preserve">Expertise in building and maintaining long-term partnerships with clients in Riyadh’s competitive banking sector.</w:t>
      </w:r>
    </w:p>
    <w:p>
      <w:pPr>
        <w:numPr>
          <w:ilvl w:val="0"/>
          <w:numId w:val="1005"/>
        </w:numPr>
        <w:pStyle w:val="Compact"/>
      </w:pPr>
      <w:r>
        <w:rPr>
          <w:bCs/>
          <w:b/>
        </w:rPr>
        <w:t xml:space="preserve">Islamic Finance:</w:t>
      </w:r>
      <w:r>
        <w:t xml:space="preserve"> </w:t>
      </w:r>
      <w:r>
        <w:t xml:space="preserve">Deep understanding of Sharia-compliant products such as Murabaha, Ijara, and Sukuk.</w:t>
      </w:r>
    </w:p>
    <w:p>
      <w:pPr>
        <w:numPr>
          <w:ilvl w:val="0"/>
          <w:numId w:val="1005"/>
        </w:numPr>
        <w:pStyle w:val="Compact"/>
      </w:pPr>
      <w:r>
        <w:rPr>
          <w:bCs/>
          <w:b/>
        </w:rPr>
        <w:t xml:space="preserve">Digital Banking:</w:t>
      </w:r>
      <w:r>
        <w:t xml:space="preserve"> </w:t>
      </w:r>
      <w:r>
        <w:t xml:space="preserve">Familiarity with Saudi Arabia’s digital transformation initiatives, including the National Transformation Program (NTP) and Vision 2030.</w:t>
      </w:r>
    </w:p>
    <w:p>
      <w:pPr>
        <w:numPr>
          <w:ilvl w:val="0"/>
          <w:numId w:val="1005"/>
        </w:numPr>
        <w:pStyle w:val="Compact"/>
      </w:pPr>
      <w:r>
        <w:rPr>
          <w:bCs/>
          <w:b/>
        </w:rPr>
        <w:t xml:space="preserve">Languages:</w:t>
      </w:r>
      <w:r>
        <w:t xml:space="preserve"> </w:t>
      </w:r>
      <w:r>
        <w:t xml:space="preserve">Fluent in Arabic and English; basic knowledge of French.</w:t>
      </w:r>
    </w:p>
    <w:bookmarkEnd w:id="28"/>
    <w:bookmarkStart w:id="29" w:name="additional-information"/>
    <w:p>
      <w:pPr>
        <w:pStyle w:val="Heading2"/>
      </w:pPr>
      <w:r>
        <w:t xml:space="preserve">Additional Information</w:t>
      </w:r>
    </w:p>
    <w:p>
      <w:pPr>
        <w:pStyle w:val="FirstParagraph"/>
      </w:pPr>
      <w:r>
        <w:rPr>
          <w:bCs/>
          <w:b/>
        </w:rPr>
        <w:t xml:space="preserve">Professional Affiliations:</w:t>
      </w:r>
      <w:r>
        <w:t xml:space="preserve"> </w:t>
      </w:r>
      <w:r>
        <w:t xml:space="preserve">Member of the Saudi Bankers Association (SBA) and the CFA Institute.</w:t>
      </w:r>
    </w:p>
    <w:p>
      <w:pPr>
        <w:pStyle w:val="BodyText"/>
      </w:pPr>
      <w:r>
        <w:rPr>
          <w:bCs/>
          <w:b/>
        </w:rPr>
        <w:t xml:space="preserve">Hobbies &amp; Interests:</w:t>
      </w:r>
      <w:r>
        <w:t xml:space="preserve"> </w:t>
      </w:r>
      <w:r>
        <w:t xml:space="preserve">Passionate about mentoring young professionals in Riyadh’s financial sector, contributing to local charities focused on education and economic empowerment, and exploring Saudi Arabia’s rich cultural heritage through travel.</w:t>
      </w:r>
    </w:p>
    <w:bookmarkEnd w:id="29"/>
    <w:bookmarkStart w:id="30" w:name="references"/>
    <w:p>
      <w:pPr>
        <w:pStyle w:val="Heading2"/>
      </w:pPr>
      <w:r>
        <w:t xml:space="preserve">References</w:t>
      </w:r>
    </w:p>
    <w:p>
      <w:pPr>
        <w:pStyle w:val="FirstParagraph"/>
      </w:pPr>
      <w:r>
        <w:t xml:space="preserve">Available upon request.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Banker in Saudi Arabia Riyadh</dc:title>
  <dc:creator/>
  <dc:language>en</dc:language>
  <cp:keywords/>
  <dcterms:created xsi:type="dcterms:W3CDTF">2026-07-28T17:29:28Z</dcterms:created>
  <dcterms:modified xsi:type="dcterms:W3CDTF">2026-07-28T17:29:28Z</dcterms:modified>
</cp:coreProperties>
</file>

<file path=docProps/custom.xml><?xml version="1.0" encoding="utf-8"?>
<Properties xmlns="http://schemas.openxmlformats.org/officeDocument/2006/custom-properties" xmlns:vt="http://schemas.openxmlformats.org/officeDocument/2006/docPropsVTypes"/>
</file>