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curriculum-vitae"/>
    <w:p>
      <w:pPr>
        <w:pStyle w:val="Heading1"/>
      </w:pPr>
      <w:r>
        <w:t xml:space="preserve">Curriculum Vitae</w:t>
      </w:r>
    </w:p>
    <w:bookmarkStart w:id="32" w:name="banker-united-arab-emirates-abu-dhabi"/>
    <w:p>
      <w:pPr>
        <w:pStyle w:val="Heading2"/>
      </w:pPr>
      <w:r>
        <w:t xml:space="preserve">Banker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Mohammed Al Kaabi</w:t>
      </w:r>
      <w:r>
        <w:br/>
      </w:r>
      <w:r>
        <w:rPr>
          <w:bCs/>
          <w:b/>
        </w:rPr>
        <w:t xml:space="preserve">Email:</w:t>
      </w:r>
      <w:r>
        <w:t xml:space="preserve"> </w:t>
      </w:r>
      <w:r>
        <w:t xml:space="preserve">ahmed.alkaabi@email.com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End w:id="20"/>
    <w:bookmarkStart w:id="21" w:name="career-summary"/>
    <w:p>
      <w:pPr>
        <w:pStyle w:val="Heading3"/>
      </w:pPr>
      <w:r>
        <w:t xml:space="preserve">Career Summary</w:t>
      </w:r>
    </w:p>
    <w:p>
      <w:pPr>
        <w:pStyle w:val="FirstParagraph"/>
      </w:pPr>
      <w:r>
        <w:t xml:space="preserve">A seasoned banker with over a decade of experience in the financial sector, specializing in corporate banking and wealth management. A dedicated professional with a proven track record of driving growth and delivering tailored financial solutions to clients across the United Arab Emirates, particularly in Abu Dhabi. Committed to upholding the highest standards of integrity, compliance, and innovation while contributing to the strategic objectives of leading financial institutions in the region.</w:t>
      </w:r>
    </w:p>
    <w:bookmarkEnd w:id="21"/>
    <w:bookmarkStart w:id="25" w:name="professional-experience"/>
    <w:p>
      <w:pPr>
        <w:pStyle w:val="Heading3"/>
      </w:pPr>
      <w:r>
        <w:t xml:space="preserve">Professional Experience</w:t>
      </w:r>
    </w:p>
    <w:bookmarkStart w:id="22" w:name="senior-relationship-manager"/>
    <w:p>
      <w:pPr>
        <w:pStyle w:val="Heading4"/>
      </w:pPr>
      <w:r>
        <w:t xml:space="preserve">Senior Relationship Manager</w:t>
      </w:r>
    </w:p>
    <w:p>
      <w:pPr>
        <w:pStyle w:val="FirstParagraph"/>
      </w:pPr>
      <w:r>
        <w:rPr>
          <w:bCs/>
          <w:b/>
        </w:rPr>
        <w:t xml:space="preserve">Abu Dhabi Islamic Bank (ADIB)</w:t>
      </w:r>
      <w:r>
        <w:br/>
      </w:r>
      <w:r>
        <w:t xml:space="preserve">Abu Dhabi, United Arab Emirates</w:t>
      </w:r>
      <w:r>
        <w:br/>
      </w:r>
      <w:r>
        <w:t xml:space="preserve">January 2018 – Present</w:t>
      </w:r>
    </w:p>
    <w:p>
      <w:pPr>
        <w:numPr>
          <w:ilvl w:val="0"/>
          <w:numId w:val="1001"/>
        </w:numPr>
        <w:pStyle w:val="Compact"/>
      </w:pPr>
      <w:r>
        <w:t xml:space="preserve">Managed a portfolio of over 50 high-net-worth individuals and corporate clients, delivering tailored Islamic banking solutions aligned with Shariah principles.</w:t>
      </w:r>
    </w:p>
    <w:p>
      <w:pPr>
        <w:numPr>
          <w:ilvl w:val="0"/>
          <w:numId w:val="1001"/>
        </w:numPr>
        <w:pStyle w:val="Compact"/>
      </w:pPr>
      <w:r>
        <w:t xml:space="preserve">Expanded the bank’s market share in Abu Dhabi by 15% through strategic client acquisition and retention initiatives.</w:t>
      </w:r>
    </w:p>
    <w:p>
      <w:pPr>
        <w:numPr>
          <w:ilvl w:val="0"/>
          <w:numId w:val="1001"/>
        </w:numPr>
        <w:pStyle w:val="Compact"/>
      </w:pPr>
      <w:r>
        <w:t xml:space="preserve">Collaborated with cross-functional teams to design innovative financial products, including Sukuk-based investment options and tawarruq services.</w:t>
      </w:r>
    </w:p>
    <w:p>
      <w:pPr>
        <w:numPr>
          <w:ilvl w:val="0"/>
          <w:numId w:val="1001"/>
        </w:numPr>
        <w:pStyle w:val="Compact"/>
      </w:pPr>
      <w:r>
        <w:t xml:space="preserve">Mentored junior bankers, fostering a culture of excellence and compliance with UAE Central Bank regulations.</w:t>
      </w:r>
    </w:p>
    <w:bookmarkEnd w:id="22"/>
    <w:bookmarkStart w:id="23" w:name="assistant-manager-corporate-banking"/>
    <w:p>
      <w:pPr>
        <w:pStyle w:val="Heading4"/>
      </w:pPr>
      <w:r>
        <w:t xml:space="preserve">Assistant Manager – Corporate Banking</w:t>
      </w:r>
    </w:p>
    <w:p>
      <w:pPr>
        <w:pStyle w:val="FirstParagraph"/>
      </w:pPr>
      <w:r>
        <w:rPr>
          <w:bCs/>
          <w:b/>
        </w:rPr>
        <w:t xml:space="preserve">Al Hilal Bank</w:t>
      </w:r>
      <w:r>
        <w:br/>
      </w:r>
      <w:r>
        <w:t xml:space="preserve">Abu Dhabi, United Arab Emirates</w:t>
      </w:r>
      <w:r>
        <w:br/>
      </w:r>
      <w:r>
        <w:t xml:space="preserve">March 2013 – December 2017</w:t>
      </w:r>
    </w:p>
    <w:p>
      <w:pPr>
        <w:numPr>
          <w:ilvl w:val="0"/>
          <w:numId w:val="1002"/>
        </w:numPr>
        <w:pStyle w:val="Compact"/>
      </w:pPr>
      <w:r>
        <w:t xml:space="preserve">Provided comprehensive banking services to mid-market and large corporate clients, including trade finance, working capital solutions, and credit facilities.</w:t>
      </w:r>
    </w:p>
    <w:p>
      <w:pPr>
        <w:numPr>
          <w:ilvl w:val="0"/>
          <w:numId w:val="1002"/>
        </w:numPr>
        <w:pStyle w:val="Compact"/>
      </w:pPr>
      <w:r>
        <w:t xml:space="preserve">Played a key role in the successful onboarding of over 30 new corporate clients in Abu Dhabi, generating an average annual revenue increase of $2.5 million.</w:t>
      </w:r>
    </w:p>
    <w:p>
      <w:pPr>
        <w:numPr>
          <w:ilvl w:val="0"/>
          <w:numId w:val="1002"/>
        </w:numPr>
        <w:pStyle w:val="Compact"/>
      </w:pPr>
      <w:r>
        <w:t xml:space="preserve">Ensured adherence to UAE financial regulations and internal compliance frameworks, minimizing operational risks for the bank.</w:t>
      </w:r>
    </w:p>
    <w:p>
      <w:pPr>
        <w:numPr>
          <w:ilvl w:val="0"/>
          <w:numId w:val="1002"/>
        </w:numPr>
        <w:pStyle w:val="Compact"/>
      </w:pPr>
      <w:r>
        <w:t xml:space="preserve">Developed and maintained strong relationships with key stakeholders, including local businesses and government entities.</w:t>
      </w:r>
    </w:p>
    <w:bookmarkEnd w:id="23"/>
    <w:bookmarkStart w:id="24" w:name="banking-officer"/>
    <w:p>
      <w:pPr>
        <w:pStyle w:val="Heading4"/>
      </w:pPr>
      <w:r>
        <w:t xml:space="preserve">Banking Officer</w:t>
      </w:r>
    </w:p>
    <w:p>
      <w:pPr>
        <w:pStyle w:val="FirstParagraph"/>
      </w:pPr>
      <w:r>
        <w:rPr>
          <w:bCs/>
          <w:b/>
        </w:rPr>
        <w:t xml:space="preserve">National Bank of Abu Dhabi (NBAD)</w:t>
      </w:r>
      <w:r>
        <w:br/>
      </w:r>
      <w:r>
        <w:t xml:space="preserve">Abu Dhabi, United Arab Emirates</w:t>
      </w:r>
      <w:r>
        <w:br/>
      </w:r>
      <w:r>
        <w:t xml:space="preserve">June 2010 – February 2013</w:t>
      </w:r>
    </w:p>
    <w:p>
      <w:pPr>
        <w:numPr>
          <w:ilvl w:val="0"/>
          <w:numId w:val="1003"/>
        </w:numPr>
        <w:pStyle w:val="Compact"/>
      </w:pPr>
      <w:r>
        <w:t xml:space="preserve">Delivered retail banking services, including loan processing, account management, and customer support to a diverse client base.</w:t>
      </w:r>
    </w:p>
    <w:p>
      <w:pPr>
        <w:numPr>
          <w:ilvl w:val="0"/>
          <w:numId w:val="1003"/>
        </w:numPr>
        <w:pStyle w:val="Compact"/>
      </w:pPr>
      <w:r>
        <w:t xml:space="preserve">Contributed to the implementation of digital transformation initiatives, enhancing operational efficiency by 20%.</w:t>
      </w:r>
    </w:p>
    <w:p>
      <w:pPr>
        <w:numPr>
          <w:ilvl w:val="0"/>
          <w:numId w:val="1003"/>
        </w:numPr>
        <w:pStyle w:val="Compact"/>
      </w:pPr>
      <w:r>
        <w:t xml:space="preserve">Received recognition as “Top Performer” in 2011 for exceeding monthly sales targets consistently.</w:t>
      </w:r>
    </w:p>
    <w:bookmarkEnd w:id="24"/>
    <w:bookmarkEnd w:id="25"/>
    <w:bookmarkStart w:id="26" w:name="education"/>
    <w:p>
      <w:pPr>
        <w:pStyle w:val="Heading3"/>
      </w:pPr>
      <w:r>
        <w:t xml:space="preserve">Education</w:t>
      </w:r>
    </w:p>
    <w:p>
      <w:pPr>
        <w:pStyle w:val="FirstParagraph"/>
      </w:pPr>
      <w:r>
        <w:rPr>
          <w:bCs/>
          <w:b/>
        </w:rPr>
        <w:t xml:space="preserve">MBA in Finance</w:t>
      </w:r>
      <w:r>
        <w:br/>
      </w:r>
      <w:r>
        <w:t xml:space="preserve">University of London, United Kingdom</w:t>
      </w:r>
      <w:r>
        <w:br/>
      </w:r>
      <w:r>
        <w:t xml:space="preserve">2008 – 2010</w:t>
      </w:r>
    </w:p>
    <w:p>
      <w:pPr>
        <w:pStyle w:val="BodyText"/>
      </w:pPr>
      <w:r>
        <w:rPr>
          <w:bCs/>
          <w:b/>
        </w:rPr>
        <w:t xml:space="preserve">BSc in Economics</w:t>
      </w:r>
      <w:r>
        <w:br/>
      </w:r>
      <w:r>
        <w:t xml:space="preserve">American University of Sharjah, UAE</w:t>
      </w:r>
      <w:r>
        <w:br/>
      </w:r>
      <w:r>
        <w:t xml:space="preserve">2004 – 2008</w:t>
      </w:r>
    </w:p>
    <w:bookmarkEnd w:id="26"/>
    <w:bookmarkStart w:id="27" w:name="certifications-professional-development"/>
    <w:p>
      <w:pPr>
        <w:pStyle w:val="Heading3"/>
      </w:pPr>
      <w:r>
        <w:t xml:space="preserve">Certifications &amp; Professional Development</w:t>
      </w:r>
    </w:p>
    <w:p>
      <w:pPr>
        <w:numPr>
          <w:ilvl w:val="0"/>
          <w:numId w:val="1004"/>
        </w:numPr>
        <w:pStyle w:val="Compact"/>
      </w:pPr>
      <w:r>
        <w:t xml:space="preserve">Chartered Banker (C.B.) – Institute of Chartered Bankers in England and Wales (ICBEW)</w:t>
      </w:r>
    </w:p>
    <w:p>
      <w:pPr>
        <w:numPr>
          <w:ilvl w:val="0"/>
          <w:numId w:val="1004"/>
        </w:numPr>
        <w:pStyle w:val="Compact"/>
      </w:pPr>
      <w:r>
        <w:t xml:space="preserve">Certified Financial Planner (CFP) – Certified in the UAE</w:t>
      </w:r>
    </w:p>
    <w:p>
      <w:pPr>
        <w:numPr>
          <w:ilvl w:val="0"/>
          <w:numId w:val="1004"/>
        </w:numPr>
        <w:pStyle w:val="Compact"/>
      </w:pPr>
      <w:r>
        <w:t xml:space="preserve">Fundamentals of Islamic Finance Certification – Dubai School of Governance, 2019</w:t>
      </w:r>
    </w:p>
    <w:p>
      <w:pPr>
        <w:numPr>
          <w:ilvl w:val="0"/>
          <w:numId w:val="1004"/>
        </w:numPr>
        <w:pStyle w:val="Compact"/>
      </w:pPr>
      <w:r>
        <w:t xml:space="preserve">UAE Central Bank Compliance Training Program, 2017</w:t>
      </w:r>
    </w:p>
    <w:bookmarkEnd w:id="27"/>
    <w:bookmarkStart w:id="29" w:name="key-skills"/>
    <w:p>
      <w:pPr>
        <w:pStyle w:val="Heading3"/>
      </w:pPr>
      <w:r>
        <w:t xml:space="preserve">Key Skills</w:t>
      </w:r>
    </w:p>
    <w:p>
      <w:pPr>
        <w:numPr>
          <w:ilvl w:val="0"/>
          <w:numId w:val="1005"/>
        </w:numPr>
        <w:pStyle w:val="Compact"/>
      </w:pPr>
      <w:r>
        <w:t xml:space="preserve">Corporate and Wealth Management</w:t>
      </w:r>
    </w:p>
    <w:p>
      <w:pPr>
        <w:numPr>
          <w:ilvl w:val="0"/>
          <w:numId w:val="1005"/>
        </w:numPr>
        <w:pStyle w:val="Compact"/>
      </w:pPr>
      <w:r>
        <w:t xml:space="preserve">Islamic Banking Operations</w:t>
      </w:r>
    </w:p>
    <w:p>
      <w:pPr>
        <w:numPr>
          <w:ilvl w:val="0"/>
          <w:numId w:val="1005"/>
        </w:numPr>
        <w:pStyle w:val="Compact"/>
      </w:pPr>
      <w:r>
        <w:t xml:space="preserve">Risk Assessment &amp; Mitigation</w:t>
      </w:r>
    </w:p>
    <w:p>
      <w:pPr>
        <w:numPr>
          <w:ilvl w:val="0"/>
          <w:numId w:val="1005"/>
        </w:numPr>
        <w:pStyle w:val="Compact"/>
      </w:pPr>
      <w:r>
        <w:t xml:space="preserve">Client Relationship Management (CRM)</w:t>
      </w:r>
    </w:p>
    <w:p>
      <w:pPr>
        <w:numPr>
          <w:ilvl w:val="0"/>
          <w:numId w:val="1005"/>
        </w:numPr>
        <w:pStyle w:val="Compact"/>
      </w:pPr>
      <w:r>
        <w:t xml:space="preserve">Financial Analysis &amp; Reporting</w:t>
      </w:r>
    </w:p>
    <w:p>
      <w:pPr>
        <w:numPr>
          <w:ilvl w:val="0"/>
          <w:numId w:val="1005"/>
        </w:numPr>
        <w:pStyle w:val="Compact"/>
      </w:pPr>
      <w:r>
        <w:t xml:space="preserve">Compliance with UAE Financial Regulations</w:t>
      </w:r>
    </w:p>
    <w:bookmarkStart w:id="28" w:name="languages"/>
    <w:p>
      <w:pPr>
        <w:pStyle w:val="Heading4"/>
      </w:pPr>
      <w:r>
        <w:t xml:space="preserve">Languages:</w:t>
      </w:r>
    </w:p>
    <w:p>
      <w:pPr>
        <w:numPr>
          <w:ilvl w:val="0"/>
          <w:numId w:val="1006"/>
        </w:numPr>
        <w:pStyle w:val="Compact"/>
      </w:pPr>
      <w:r>
        <w:t xml:space="preserve">Arabic (Fluent)</w:t>
      </w:r>
    </w:p>
    <w:p>
      <w:pPr>
        <w:numPr>
          <w:ilvl w:val="0"/>
          <w:numId w:val="1006"/>
        </w:numPr>
        <w:pStyle w:val="Compact"/>
      </w:pPr>
      <w:r>
        <w:t xml:space="preserve">English (Proficient)</w:t>
      </w:r>
    </w:p>
    <w:bookmarkEnd w:id="28"/>
    <w:bookmarkEnd w:id="29"/>
    <w:bookmarkStart w:id="30" w:name="additional-information"/>
    <w:p>
      <w:pPr>
        <w:pStyle w:val="Heading3"/>
      </w:pPr>
      <w:r>
        <w:t xml:space="preserve">Additional Information</w:t>
      </w:r>
    </w:p>
    <w:p>
      <w:pPr>
        <w:pStyle w:val="FirstParagraph"/>
      </w:pPr>
      <w:r>
        <w:rPr>
          <w:bCs/>
          <w:b/>
        </w:rPr>
        <w:t xml:space="preserve">Professional Memberships:</w:t>
      </w:r>
      <w:r>
        <w:br/>
      </w:r>
      <w:r>
        <w:t xml:space="preserve">- Member, UAE Bankers Association</w:t>
      </w:r>
      <w:r>
        <w:br/>
      </w:r>
      <w:r>
        <w:t xml:space="preserve">- Member, Chartered Institute of Banking (CIB) – UK</w:t>
      </w:r>
    </w:p>
    <w:p>
      <w:pPr>
        <w:pStyle w:val="BodyText"/>
      </w:pPr>
      <w:r>
        <w:rPr>
          <w:bCs/>
          <w:b/>
        </w:rPr>
        <w:t xml:space="preserve">Community Involvement:</w:t>
      </w:r>
      <w:r>
        <w:br/>
      </w:r>
      <w:r>
        <w:t xml:space="preserve">- Volunteer Financial Literacy Educator for Abu Dhabi Youth Council (2015–2020)</w:t>
      </w:r>
      <w:r>
        <w:br/>
      </w:r>
      <w:r>
        <w:t xml:space="preserve">- Participant in UAE Central Bank’s “Financial Inclusion Initiatives” workshops.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the United Arab Emirates Abu Dhabi banking sector, emphasizing expertise in financial services, compliance with UAE regulations, and a focus on delivering value to clients and institutions.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United Arab Emirates Abu Dhabi</dc:title>
  <dc:creator/>
  <dc:language>en</dc:language>
  <cp:keywords/>
  <dcterms:created xsi:type="dcterms:W3CDTF">2025-12-10T11:42:34Z</dcterms:created>
  <dcterms:modified xsi:type="dcterms:W3CDTF">2025-12-10T11:42:34Z</dcterms:modified>
</cp:coreProperties>
</file>

<file path=docProps/custom.xml><?xml version="1.0" encoding="utf-8"?>
<Properties xmlns="http://schemas.openxmlformats.org/officeDocument/2006/custom-properties" xmlns:vt="http://schemas.openxmlformats.org/officeDocument/2006/docPropsVTypes"/>
</file>