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over 8 years of experience in designing and implementing innovative educational frameworks tailored to the dynamic needs of China’s education system. Specializing in aligning curricula with national standards while fostering cross-cultural collaboration. Based in Beijing, China, I have contributed to numerous projects that enhance teaching methodologies, student engagement, and academic outcomes. My work as a Curriculum Developer focuses on integrating technology, promoting bilingual education, and ensuring compliance with the Chinese Ministry of Education’s guidelines.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Beijing International School (BIS)</w:t>
      </w:r>
      <w:r>
        <w:t xml:space="preserve">, Beijing, China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bilingual curriculum for Grades 1–12, aligning with the National Curriculum Standards of China and international benchmarks (e.g., IB, Cambridge). This initiative improved student performance in standardized tests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educators and policymakers in Beijing to integrate digital tools such as AI-driven learning platforms, enhancing accessibility for over 1,000 students across the city.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alignment, focusing on China’s emphasis on STEM education and critical thinking. These sessions reached over 50 educators annually.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pilot program for vocational training in Beijing, bridging gaps between academic education and industry demands.</w:t>
      </w:r>
    </w:p>
    <w:bookmarkEnd w:id="22"/>
    <w:bookmarkStart w:id="23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bCs/>
          <w:b/>
        </w:rPr>
        <w:t xml:space="preserve">Shanghai Education Technology Group (SETG)</w:t>
      </w:r>
      <w:r>
        <w:t xml:space="preserve">, Beijing, China</w:t>
      </w:r>
      <w:r>
        <w:br/>
      </w: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the creation of a competency-based curriculum for secondary schools in Beijing, emphasizing student-centered learning and real-world applications. The program was adopted by 30+ schools across the city.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Beijing to design professional development modules for teachers, ensuring alignment with China’s National Education Reform Strategies.</w:t>
      </w:r>
    </w:p>
    <w:p>
      <w:pPr>
        <w:numPr>
          <w:ilvl w:val="0"/>
          <w:numId w:val="1002"/>
        </w:numPr>
        <w:pStyle w:val="Compact"/>
      </w:pPr>
      <w:r>
        <w:t xml:space="preserve">Developed a digital resource library accessible to educators in Beijing, featuring interactive lesson plans and multilingual support for diverse student populations.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traditional Chinese cultural studies into international curricula, enhancing students’ cultural literacy while maintaining academic rigor.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s-in-educational-leadership"/>
    <w:p>
      <w:pPr>
        <w:pStyle w:val="Heading3"/>
      </w:pPr>
      <w:r>
        <w:t xml:space="preserve">Masters in Educational Leadership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Thesis: "Reforming Curriculum Design in the Context of Globalization: A Case Study of Beijing’s Schools."</w:t>
      </w:r>
    </w:p>
    <w:bookmarkEnd w:id="25"/>
    <w:bookmarkStart w:id="26" w:name="bachelor-of-arts-in-education"/>
    <w:p>
      <w:pPr>
        <w:pStyle w:val="Heading3"/>
      </w:pPr>
      <w:r>
        <w:t xml:space="preserve">Bachelor of Arts in Education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LMS platforms (e.g., Moodle, Canvas), AI-driven learning tools, and multimedia content creation.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Experienced in developing standards-based curricula aligned with China’s National Curriculum Standards and international frameworks.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Fluency in English and Mandarin Chinese, enabling effective collaboration with local and international stakeholders in Beijing.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understanding of China’s educational policies, including the "Double Reduction" initiative and 2035 Education Vision.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curriculum projects, coordinating with schools, government bodies, and NGOs in Beijing.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Curriculum Developer (CCD)</w:t>
      </w:r>
      <w:r>
        <w:t xml:space="preserve">, International Society for Educational Innovation (ISEI),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for Educators</w:t>
      </w:r>
      <w:r>
        <w:t xml:space="preserve">, Beijing Municipal Education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in Education Workshop</w:t>
      </w:r>
      <w:r>
        <w:t xml:space="preserve">, Tsinghua University,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Beijing Digital Curriculum Initiative (2019–2021):</w:t>
      </w:r>
      <w:r>
        <w:t xml:space="preserve"> </w:t>
      </w:r>
      <w:r>
        <w:t xml:space="preserve">Spearheaded the development of a citywide digital curriculum for primary and secondary schools, integrating virtual labs and gamified learning modules. The project received recognition from the Beijing Education Bureau for its innovation.</w:t>
      </w:r>
    </w:p>
    <w:p>
      <w:pPr>
        <w:pStyle w:val="BodyText"/>
      </w:pPr>
      <w:r>
        <w:rPr>
          <w:bCs/>
          <w:b/>
        </w:rPr>
        <w:t xml:space="preserve">Cross-Cultural Curriculum Exchange Program (2017–2018):</w:t>
      </w:r>
      <w:r>
        <w:t xml:space="preserve"> </w:t>
      </w:r>
      <w:r>
        <w:t xml:space="preserve">Facilitated partnerships between schools in Beijing and the U.S., creating a shared curriculum that blended Chinese and Western pedagogical approaches. The program was featured in</w:t>
      </w:r>
      <w:r>
        <w:t xml:space="preserve"> </w:t>
      </w:r>
      <w:r>
        <w:rPr>
          <w:iCs/>
          <w:i/>
        </w:rPr>
        <w:t xml:space="preserve">China Education Daily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STEM for Rural Schools (2020):</w:t>
      </w:r>
      <w:r>
        <w:t xml:space="preserve"> </w:t>
      </w:r>
      <w:r>
        <w:t xml:space="preserve">Designed a low-cost STEM curriculum distributed to 50 schools in Beijing’s rural areas, supported by the China Education Foundation. The initiative increased student interest in science by 40%.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"Innovative Curricula for a Globalized China," presented at the International Conference on Education, Beijing, 2021.</w:t>
      </w:r>
    </w:p>
    <w:p>
      <w:pPr>
        <w:numPr>
          <w:ilvl w:val="0"/>
          <w:numId w:val="1006"/>
        </w:numPr>
        <w:pStyle w:val="Compact"/>
      </w:pPr>
      <w:r>
        <w:t xml:space="preserve">"Bridging Gaps: Bilingual Curriculum Design in Beijing’s Schools," published in the Journal of Educational Innovation, 2019.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China Beijing</dc:title>
  <dc:creator/>
  <dc:language>en</dc:language>
  <cp:keywords/>
  <dcterms:created xsi:type="dcterms:W3CDTF">2026-04-21T17:26:19Z</dcterms:created>
  <dcterms:modified xsi:type="dcterms:W3CDTF">2026-04-21T17:26:19Z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