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Developer,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Beijing,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Curriculum Developer with over 8 years of experience in designing and implementing innovative educational frameworks tailored to the dynamic needs of China’s education system. Specializing in aligning curricula with national standards while fostering cross-cultural collaboration. Based in Beijing, China, I have contributed to numerous projects that enhance teaching methodologies, student engagement, and academic outcomes. My work as a Curriculum Developer focuses on integrating technology, promoting bilingual education, and ensuring compliance with the Chinese Ministry of Education’s guidelines.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bCs/>
          <w:b/>
        </w:rPr>
        <w:t xml:space="preserve">Beijing International School (BIS)</w:t>
      </w:r>
      <w:r>
        <w:t xml:space="preserve">, Beijing, China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Designed and implemented a bilingual curriculum for Grades 1–12, aligning with the National Curriculum Standards of China and international benchmarks (e.g., IB, Cambridge). This initiative improved student performance in standardized tests by 25% within two years.</w:t>
      </w:r>
    </w:p>
    <w:p>
      <w:pPr>
        <w:numPr>
          <w:ilvl w:val="0"/>
          <w:numId w:val="1001"/>
        </w:numPr>
        <w:pStyle w:val="Compact"/>
      </w:pPr>
      <w:r>
        <w:t xml:space="preserve">Collaborated with local educators and policymakers in Beijing to integrate digital tools such as AI-driven learning platforms, enhancing accessibility for over 1,000 students across the city.</w:t>
      </w:r>
    </w:p>
    <w:p>
      <w:pPr>
        <w:numPr>
          <w:ilvl w:val="0"/>
          <w:numId w:val="1001"/>
        </w:numPr>
        <w:pStyle w:val="Compact"/>
      </w:pPr>
      <w:r>
        <w:t xml:space="preserve">Conducted workshops for teachers on curriculum alignment, focusing on China’s emphasis on STEM education and critical thinking. These sessions reached over 50 educators annually.</w:t>
      </w:r>
    </w:p>
    <w:p>
      <w:pPr>
        <w:numPr>
          <w:ilvl w:val="0"/>
          <w:numId w:val="1001"/>
        </w:numPr>
        <w:pStyle w:val="Compact"/>
      </w:pPr>
      <w:r>
        <w:t xml:space="preserve">Contributed to the development of a pilot program for vocational training in Beijing, bridging gaps between academic education and industry demands.</w:t>
      </w:r>
    </w:p>
    <w:bookmarkEnd w:id="22"/>
    <w:bookmarkStart w:id="23" w:name="senior-curriculum-designer"/>
    <w:p>
      <w:pPr>
        <w:pStyle w:val="Heading3"/>
      </w:pPr>
      <w:r>
        <w:t xml:space="preserve">Senior Curriculum Designer</w:t>
      </w:r>
    </w:p>
    <w:p>
      <w:pPr>
        <w:pStyle w:val="FirstParagraph"/>
      </w:pPr>
      <w:r>
        <w:rPr>
          <w:bCs/>
          <w:b/>
        </w:rPr>
        <w:t xml:space="preserve">Shanghai Education Technology Group (SETG)</w:t>
      </w:r>
      <w:r>
        <w:t xml:space="preserve">, Beijing, China</w:t>
      </w:r>
      <w:r>
        <w:br/>
      </w:r>
      <w:r>
        <w:rPr>
          <w:iCs/>
          <w:i/>
        </w:rPr>
        <w:t xml:space="preserve">March 2015 – December 2018</w:t>
      </w:r>
    </w:p>
    <w:p>
      <w:pPr>
        <w:numPr>
          <w:ilvl w:val="0"/>
          <w:numId w:val="1002"/>
        </w:numPr>
        <w:pStyle w:val="Compact"/>
      </w:pPr>
      <w:r>
        <w:t xml:space="preserve">Led the creation of a competency-based curriculum for secondary schools in Beijing, emphasizing student-centered learning and real-world applications. The program was adopted by 30+ schools across the city.</w:t>
      </w:r>
    </w:p>
    <w:p>
      <w:pPr>
        <w:numPr>
          <w:ilvl w:val="0"/>
          <w:numId w:val="1002"/>
        </w:numPr>
        <w:pStyle w:val="Compact"/>
      </w:pPr>
      <w:r>
        <w:t xml:space="preserve">Partnered with universities in Beijing to design professional development modules for teachers, ensuring alignment with China’s National Education Reform Strategies.</w:t>
      </w:r>
    </w:p>
    <w:p>
      <w:pPr>
        <w:numPr>
          <w:ilvl w:val="0"/>
          <w:numId w:val="1002"/>
        </w:numPr>
        <w:pStyle w:val="Compact"/>
      </w:pPr>
      <w:r>
        <w:t xml:space="preserve">Developed a digital resource library accessible to educators in Beijing, featuring interactive lesson plans and multilingual support for diverse student populations.</w:t>
      </w:r>
    </w:p>
    <w:p>
      <w:pPr>
        <w:numPr>
          <w:ilvl w:val="0"/>
          <w:numId w:val="1002"/>
        </w:numPr>
        <w:pStyle w:val="Compact"/>
      </w:pPr>
      <w:r>
        <w:t xml:space="preserve">Advised on the integration of traditional Chinese cultural studies into international curricula, enhancing students’ cultural literacy while maintaining academic rigor.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masters-in-educational-leadership"/>
    <w:p>
      <w:pPr>
        <w:pStyle w:val="Heading3"/>
      </w:pPr>
      <w:r>
        <w:t xml:space="preserve">Masters in Educational Leadership</w:t>
      </w:r>
    </w:p>
    <w:p>
      <w:pPr>
        <w:pStyle w:val="FirstParagraph"/>
      </w:pPr>
      <w:r>
        <w:rPr>
          <w:bCs/>
          <w:b/>
        </w:rPr>
        <w:t xml:space="preserve">Peking University</w:t>
      </w:r>
      <w:r>
        <w:t xml:space="preserve">, Beijing, China</w:t>
      </w:r>
      <w:r>
        <w:br/>
      </w:r>
      <w:r>
        <w:rPr>
          <w:iCs/>
          <w:i/>
        </w:rPr>
        <w:t xml:space="preserve">Graduated: June 2014</w:t>
      </w:r>
    </w:p>
    <w:p>
      <w:pPr>
        <w:pStyle w:val="BodyText"/>
      </w:pPr>
      <w:r>
        <w:t xml:space="preserve">Thesis: "Reforming Curriculum Design in the Context of Globalization: A Case Study of Beijing’s Schools."</w:t>
      </w:r>
    </w:p>
    <w:bookmarkEnd w:id="25"/>
    <w:bookmarkStart w:id="26" w:name="bachelor-of-arts-in-education"/>
    <w:p>
      <w:pPr>
        <w:pStyle w:val="Heading3"/>
      </w:pPr>
      <w:r>
        <w:t xml:space="preserve">Bachelor of Arts in Education</w:t>
      </w:r>
    </w:p>
    <w:p>
      <w:pPr>
        <w:pStyle w:val="FirstParagraph"/>
      </w:pPr>
      <w:r>
        <w:rPr>
          <w:bCs/>
          <w:b/>
        </w:rPr>
        <w:t xml:space="preserve">Tsinghua University</w:t>
      </w:r>
      <w:r>
        <w:t xml:space="preserve">, Beijing, China</w:t>
      </w:r>
      <w:r>
        <w:br/>
      </w:r>
      <w:r>
        <w:rPr>
          <w:iCs/>
          <w:i/>
        </w:rPr>
        <w:t xml:space="preserve">Graduated: June 2011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Educational Technology:</w:t>
      </w:r>
      <w:r>
        <w:t xml:space="preserve"> </w:t>
      </w:r>
      <w:r>
        <w:t xml:space="preserve">Proficient in LMS platforms (e.g., Moodle, Canvas), AI-driven learning tools, and multimedia content creation.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Experienced in developing standards-based curricula aligned with China’s National Curriculum Standards and international frameworks.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Bilingual Communication:</w:t>
      </w:r>
      <w:r>
        <w:t xml:space="preserve"> </w:t>
      </w:r>
      <w:r>
        <w:t xml:space="preserve">Fluency in English and Mandarin Chinese, enabling effective collaboration with local and international stakeholders in Beijing.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Strong understanding of China’s educational policies, including the "Double Reduction" initiative and 2035 Education Vision.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large-scale curriculum projects, coordinating with schools, government bodies, and NGOs in Beijing.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Curriculum Developer (CCD)</w:t>
      </w:r>
      <w:r>
        <w:t xml:space="preserve">, International Society for Educational Innovation (ISEI),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Professional Development for Educators</w:t>
      </w:r>
      <w:r>
        <w:t xml:space="preserve">, Beijing Municipal Education Commission, 2017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AI in Education Workshop</w:t>
      </w:r>
      <w:r>
        <w:t xml:space="preserve">, Tsinghua University, 2020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Mandarin Chinese (Native)</w:t>
      </w:r>
    </w:p>
    <w:p>
      <w:pPr>
        <w:numPr>
          <w:ilvl w:val="0"/>
          <w:numId w:val="1005"/>
        </w:numPr>
        <w:pStyle w:val="Compact"/>
      </w:pPr>
      <w:r>
        <w:t xml:space="preserve">Spanish (Basic)</w:t>
      </w:r>
    </w:p>
    <w:bookmarkEnd w:id="30"/>
    <w:bookmarkStart w:id="31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Beijing Digital Curriculum Initiative (2019–2021):</w:t>
      </w:r>
      <w:r>
        <w:t xml:space="preserve"> </w:t>
      </w:r>
      <w:r>
        <w:t xml:space="preserve">Spearheaded the development of a citywide digital curriculum for primary and secondary schools, integrating virtual labs and gamified learning modules. The project received recognition from the Beijing Education Bureau for its innovation.</w:t>
      </w:r>
    </w:p>
    <w:p>
      <w:pPr>
        <w:pStyle w:val="BodyText"/>
      </w:pPr>
      <w:r>
        <w:rPr>
          <w:bCs/>
          <w:b/>
        </w:rPr>
        <w:t xml:space="preserve">Cross-Cultural Curriculum Exchange Program (2017–2018):</w:t>
      </w:r>
      <w:r>
        <w:t xml:space="preserve"> </w:t>
      </w:r>
      <w:r>
        <w:t xml:space="preserve">Facilitated partnerships between schools in Beijing and the U.S., creating a shared curriculum that blended Chinese and Western pedagogical approaches. The program was featured in</w:t>
      </w:r>
      <w:r>
        <w:t xml:space="preserve"> </w:t>
      </w:r>
      <w:r>
        <w:rPr>
          <w:iCs/>
          <w:i/>
        </w:rPr>
        <w:t xml:space="preserve">China Education Daily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STEM for Rural Schools (2020):</w:t>
      </w:r>
      <w:r>
        <w:t xml:space="preserve"> </w:t>
      </w:r>
      <w:r>
        <w:t xml:space="preserve">Designed a low-cost STEM curriculum distributed to 50 schools in Beijing’s rural areas, supported by the China Education Foundation. The initiative increased student interest in science by 40%.</w:t>
      </w:r>
    </w:p>
    <w:bookmarkEnd w:id="31"/>
    <w:bookmarkStart w:id="32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6"/>
        </w:numPr>
        <w:pStyle w:val="Compact"/>
      </w:pPr>
      <w:r>
        <w:t xml:space="preserve">"Innovative Curricula for a Globalized China," presented at the International Conference on Education, Beijing, 2021.</w:t>
      </w:r>
    </w:p>
    <w:p>
      <w:pPr>
        <w:numPr>
          <w:ilvl w:val="0"/>
          <w:numId w:val="1006"/>
        </w:numPr>
        <w:pStyle w:val="Compact"/>
      </w:pPr>
      <w:r>
        <w:t xml:space="preserve">"Bridging Gaps: Bilingual Curriculum Design in Beijing’s Schools," published in the Journal of Educational Innovation, 2019.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Developer, China Beijing</dc:title>
  <dc:creator/>
  <dc:language>en</dc:language>
  <cp:keywords/>
  <dcterms:created xsi:type="dcterms:W3CDTF">2026-07-29T02:28:50Z</dcterms:created>
  <dcterms:modified xsi:type="dcterms:W3CDTF">2026-07-29T02:28:50Z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