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Australia</w:t>
      </w:r>
      <w:r>
        <w:t xml:space="preserve"> </w:t>
      </w:r>
      <w:r>
        <w:t xml:space="preserve">Melbourne</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A highly motivated and analytical Economist with over [X years] of experience in economic research, policy analysis, and data-driven decision-making. Specializing in the Australian economy with a focus on regional development, labor markets, and public policy. Proven track record of delivering insights that support sustainable growth in Melbourne’s dynamic economic landscape. Committed to leveraging expertise as an Economist to address challenges and opportunities within Australia's evolving economic framework.</w:t>
      </w:r>
    </w:p>
    <w:bookmarkEnd w:id="20"/>
    <w:bookmarkStart w:id="24"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Australian Institute of Economics (AIE)</w:t>
      </w:r>
      <w:r>
        <w:t xml:space="preserve"> </w:t>
      </w:r>
      <w:r>
        <w:t xml:space="preserve">| Melbourne, Victoria, Australia</w:t>
      </w:r>
      <w:r>
        <w:br/>
      </w:r>
      <w:r>
        <w:t xml:space="preserve">January 2020 – Present</w:t>
      </w:r>
    </w:p>
    <w:p>
      <w:pPr>
        <w:numPr>
          <w:ilvl w:val="0"/>
          <w:numId w:val="1001"/>
        </w:numPr>
        <w:pStyle w:val="Compact"/>
      </w:pPr>
      <w:r>
        <w:t xml:space="preserve">Conducted in-depth research on economic trends affecting Victoria’s industries, including manufacturing, agriculture, and tech sectors.</w:t>
      </w:r>
    </w:p>
    <w:p>
      <w:pPr>
        <w:numPr>
          <w:ilvl w:val="0"/>
          <w:numId w:val="1001"/>
        </w:numPr>
        <w:pStyle w:val="Compact"/>
      </w:pPr>
      <w:r>
        <w:t xml:space="preserve">Provided data-driven recommendations to government agencies on fiscal policy reforms to enhance regional competitiveness in Melbourne.</w:t>
      </w:r>
    </w:p>
    <w:p>
      <w:pPr>
        <w:numPr>
          <w:ilvl w:val="0"/>
          <w:numId w:val="1001"/>
        </w:numPr>
        <w:pStyle w:val="Compact"/>
      </w:pPr>
      <w:r>
        <w:t xml:space="preserve">Collaborated with local councils to analyze the impact of infrastructure investments on employment and productivity in metropolitan areas.</w:t>
      </w:r>
    </w:p>
    <w:p>
      <w:pPr>
        <w:numPr>
          <w:ilvl w:val="0"/>
          <w:numId w:val="1001"/>
        </w:numPr>
        <w:pStyle w:val="Compact"/>
      </w:pPr>
      <w:r>
        <w:t xml:space="preserve">Published reports on economic forecasting models, which were cited by policymakers and media outlets across Australia.</w:t>
      </w:r>
    </w:p>
    <w:bookmarkEnd w:id="21"/>
    <w:bookmarkStart w:id="22" w:name="senior-research-analyst"/>
    <w:p>
      <w:pPr>
        <w:pStyle w:val="Heading3"/>
      </w:pPr>
      <w:r>
        <w:t xml:space="preserve">Senior Research Analyst</w:t>
      </w:r>
    </w:p>
    <w:p>
      <w:pPr>
        <w:pStyle w:val="FirstParagraph"/>
      </w:pPr>
      <w:r>
        <w:rPr>
          <w:bCs/>
          <w:b/>
        </w:rPr>
        <w:t xml:space="preserve">Victoria University Economic Research Centre (VUERC)</w:t>
      </w:r>
      <w:r>
        <w:t xml:space="preserve"> </w:t>
      </w:r>
      <w:r>
        <w:t xml:space="preserve">| Melbourne, Victoria, Australia</w:t>
      </w:r>
      <w:r>
        <w:br/>
      </w:r>
      <w:r>
        <w:t xml:space="preserve">June 2016 – December 2019</w:t>
      </w:r>
    </w:p>
    <w:p>
      <w:pPr>
        <w:numPr>
          <w:ilvl w:val="0"/>
          <w:numId w:val="1002"/>
        </w:numPr>
        <w:pStyle w:val="Compact"/>
      </w:pPr>
      <w:r>
        <w:t xml:space="preserve">Led a team of researchers to evaluate the economic impact of tourism and hospitality sectors in Melbourne post-pandemic.</w:t>
      </w:r>
    </w:p>
    <w:p>
      <w:pPr>
        <w:numPr>
          <w:ilvl w:val="0"/>
          <w:numId w:val="1002"/>
        </w:numPr>
        <w:pStyle w:val="Compact"/>
      </w:pPr>
      <w:r>
        <w:t xml:space="preserve">Developed econometric models to predict labor market trends, contributing to workforce development strategies in regional Victoria.</w:t>
      </w:r>
    </w:p>
    <w:p>
      <w:pPr>
        <w:numPr>
          <w:ilvl w:val="0"/>
          <w:numId w:val="1002"/>
        </w:numPr>
        <w:pStyle w:val="Compact"/>
      </w:pPr>
      <w:r>
        <w:t xml:space="preserve">Advised private sector clients on market entry strategies, leveraging insights into Australia’s regulatory environment and consumer behavior.</w:t>
      </w:r>
    </w:p>
    <w:p>
      <w:pPr>
        <w:numPr>
          <w:ilvl w:val="0"/>
          <w:numId w:val="1002"/>
        </w:numPr>
        <w:pStyle w:val="Compact"/>
      </w:pPr>
      <w:r>
        <w:t xml:space="preserve">Presented findings at national conferences, including the Australian Economic Society (AES) annual meeting in 2018.</w:t>
      </w:r>
    </w:p>
    <w:bookmarkEnd w:id="22"/>
    <w:bookmarkStart w:id="23" w:name="economic-analyst"/>
    <w:p>
      <w:pPr>
        <w:pStyle w:val="Heading3"/>
      </w:pPr>
      <w:r>
        <w:t xml:space="preserve">Economic Analyst</w:t>
      </w:r>
    </w:p>
    <w:p>
      <w:pPr>
        <w:pStyle w:val="FirstParagraph"/>
      </w:pPr>
      <w:r>
        <w:rPr>
          <w:bCs/>
          <w:b/>
        </w:rPr>
        <w:t xml:space="preserve">Deloitte Australia</w:t>
      </w:r>
      <w:r>
        <w:t xml:space="preserve"> </w:t>
      </w:r>
      <w:r>
        <w:t xml:space="preserve">| Melbourne, Victoria, Australia</w:t>
      </w:r>
      <w:r>
        <w:br/>
      </w:r>
      <w:r>
        <w:t xml:space="preserve">March 2014 – May 2016</w:t>
      </w:r>
    </w:p>
    <w:p>
      <w:pPr>
        <w:numPr>
          <w:ilvl w:val="0"/>
          <w:numId w:val="1003"/>
        </w:numPr>
        <w:pStyle w:val="Compact"/>
      </w:pPr>
      <w:r>
        <w:t xml:space="preserve">Supported clients in assessing the economic viability of major infrastructure projects, such as the West Gate Tunnel and Melbourne Metro Rail.</w:t>
      </w:r>
    </w:p>
    <w:p>
      <w:pPr>
        <w:numPr>
          <w:ilvl w:val="0"/>
          <w:numId w:val="1003"/>
        </w:numPr>
        <w:pStyle w:val="Compact"/>
      </w:pPr>
      <w:r>
        <w:t xml:space="preserve">Analyzed macroeconomic indicators to forecast industry-specific growth and advise on investment opportunities in Australia’s renewable energy sector.</w:t>
      </w:r>
    </w:p>
    <w:p>
      <w:pPr>
        <w:numPr>
          <w:ilvl w:val="0"/>
          <w:numId w:val="1003"/>
        </w:numPr>
        <w:pStyle w:val="Compact"/>
      </w:pPr>
      <w:r>
        <w:t xml:space="preserve">Created visualizations and dashboards using Python and Tableau to communicate complex economic data to non-technical stakeholders.</w:t>
      </w:r>
    </w:p>
    <w:bookmarkEnd w:id="23"/>
    <w:bookmarkEnd w:id="24"/>
    <w:bookmarkStart w:id="27" w:name="education"/>
    <w:p>
      <w:pPr>
        <w:pStyle w:val="Heading2"/>
      </w:pPr>
      <w:r>
        <w:t xml:space="preserve">Education</w:t>
      </w:r>
    </w:p>
    <w:bookmarkStart w:id="25" w:name="masters-of-economics"/>
    <w:p>
      <w:pPr>
        <w:pStyle w:val="Heading3"/>
      </w:pPr>
      <w:r>
        <w:t xml:space="preserve">Masters of Economics</w:t>
      </w:r>
    </w:p>
    <w:p>
      <w:pPr>
        <w:pStyle w:val="FirstParagraph"/>
      </w:pPr>
      <w:r>
        <w:rPr>
          <w:bCs/>
          <w:b/>
        </w:rPr>
        <w:t xml:space="preserve">University of Melbourne</w:t>
      </w:r>
      <w:r>
        <w:t xml:space="preserve"> </w:t>
      </w:r>
      <w:r>
        <w:t xml:space="preserve">| Melbourne, Victoria, Australia</w:t>
      </w:r>
      <w:r>
        <w:br/>
      </w:r>
      <w:r>
        <w:t xml:space="preserve">Graduated: 2013</w:t>
      </w:r>
    </w:p>
    <w:p>
      <w:pPr>
        <w:pStyle w:val="BodyText"/>
      </w:pPr>
      <w:r>
        <w:t xml:space="preserve">Courses: Macroeconomic Policy, Econometrics, Public Finance, and Development Economics. Thesis focused on regional disparities in economic growth across Australian states.</w:t>
      </w:r>
    </w:p>
    <w:bookmarkEnd w:id="25"/>
    <w:bookmarkStart w:id="26" w:name="bachelor-of-commerce-economics"/>
    <w:p>
      <w:pPr>
        <w:pStyle w:val="Heading3"/>
      </w:pPr>
      <w:r>
        <w:t xml:space="preserve">Bachelor of Commerce (Economics)</w:t>
      </w:r>
    </w:p>
    <w:p>
      <w:pPr>
        <w:pStyle w:val="FirstParagraph"/>
      </w:pPr>
      <w:r>
        <w:rPr>
          <w:bCs/>
          <w:b/>
        </w:rPr>
        <w:t xml:space="preserve">Monash University</w:t>
      </w:r>
      <w:r>
        <w:t xml:space="preserve"> </w:t>
      </w:r>
      <w:r>
        <w:t xml:space="preserve">| Melbourne, Victoria, Australia</w:t>
      </w:r>
      <w:r>
        <w:br/>
      </w:r>
      <w:r>
        <w:t xml:space="preserve">Graduated: 2010</w:t>
      </w:r>
    </w:p>
    <w:bookmarkEnd w:id="26"/>
    <w:bookmarkEnd w:id="27"/>
    <w:bookmarkStart w:id="28" w:name="skills"/>
    <w:p>
      <w:pPr>
        <w:pStyle w:val="Heading2"/>
      </w:pPr>
      <w:r>
        <w:t xml:space="preserve">Skills</w:t>
      </w:r>
    </w:p>
    <w:p>
      <w:pPr>
        <w:numPr>
          <w:ilvl w:val="0"/>
          <w:numId w:val="1004"/>
        </w:numPr>
        <w:pStyle w:val="Compact"/>
      </w:pPr>
      <w:r>
        <w:rPr>
          <w:bCs/>
          <w:b/>
        </w:rPr>
        <w:t xml:space="preserve">Economic Research:</w:t>
      </w:r>
      <w:r>
        <w:t xml:space="preserve"> </w:t>
      </w:r>
      <w:r>
        <w:t xml:space="preserve">Expertise in designing and executing empirical studies to evaluate policy outcomes.</w:t>
      </w:r>
    </w:p>
    <w:p>
      <w:pPr>
        <w:numPr>
          <w:ilvl w:val="0"/>
          <w:numId w:val="1004"/>
        </w:numPr>
        <w:pStyle w:val="Compact"/>
      </w:pPr>
      <w:r>
        <w:rPr>
          <w:bCs/>
          <w:b/>
        </w:rPr>
        <w:t xml:space="preserve">Data Analysis:</w:t>
      </w:r>
      <w:r>
        <w:t xml:space="preserve"> </w:t>
      </w:r>
      <w:r>
        <w:t xml:space="preserve">Proficient in Stata, R, Python, and SQL for statistical modeling and data visualization.</w:t>
      </w:r>
    </w:p>
    <w:p>
      <w:pPr>
        <w:numPr>
          <w:ilvl w:val="0"/>
          <w:numId w:val="1004"/>
        </w:numPr>
        <w:pStyle w:val="Compact"/>
      </w:pPr>
      <w:r>
        <w:rPr>
          <w:bCs/>
          <w:b/>
        </w:rPr>
        <w:t xml:space="preserve">Policy Analysis:</w:t>
      </w:r>
      <w:r>
        <w:t xml:space="preserve"> </w:t>
      </w:r>
      <w:r>
        <w:t xml:space="preserve">Skilled in interpreting economic data to inform legislative and regulatory decisions.</w:t>
      </w:r>
    </w:p>
    <w:p>
      <w:pPr>
        <w:numPr>
          <w:ilvl w:val="0"/>
          <w:numId w:val="1004"/>
        </w:numPr>
        <w:pStyle w:val="Compact"/>
      </w:pPr>
      <w:r>
        <w:rPr>
          <w:bCs/>
          <w:b/>
        </w:rPr>
        <w:t xml:space="preserve">Communication:</w:t>
      </w:r>
      <w:r>
        <w:t xml:space="preserve"> </w:t>
      </w:r>
      <w:r>
        <w:t xml:space="preserve">Adept at translating technical findings into actionable insights for diverse audiences.</w:t>
      </w:r>
    </w:p>
    <w:p>
      <w:pPr>
        <w:numPr>
          <w:ilvl w:val="0"/>
          <w:numId w:val="1004"/>
        </w:numPr>
        <w:pStyle w:val="Compact"/>
      </w:pPr>
      <w:r>
        <w:rPr>
          <w:bCs/>
          <w:b/>
        </w:rPr>
        <w:t xml:space="preserve">Languages:</w:t>
      </w:r>
      <w:r>
        <w:t xml:space="preserve"> </w:t>
      </w:r>
      <w:r>
        <w:t xml:space="preserve">Fluent in English, with basic knowledge of Mandarin (for regional trade analysis).</w:t>
      </w:r>
    </w:p>
    <w:bookmarkEnd w:id="28"/>
    <w:bookmarkStart w:id="29" w:name="certifications"/>
    <w:p>
      <w:pPr>
        <w:pStyle w:val="Heading2"/>
      </w:pPr>
      <w:r>
        <w:t xml:space="preserve">Certifications</w:t>
      </w:r>
    </w:p>
    <w:p>
      <w:pPr>
        <w:numPr>
          <w:ilvl w:val="0"/>
          <w:numId w:val="1005"/>
        </w:numPr>
        <w:pStyle w:val="Compact"/>
      </w:pPr>
      <w:r>
        <w:rPr>
          <w:bCs/>
          <w:b/>
        </w:rPr>
        <w:t xml:space="preserve">Chartered Economist (CE)</w:t>
      </w:r>
      <w:r>
        <w:t xml:space="preserve"> </w:t>
      </w:r>
      <w:r>
        <w:t xml:space="preserve">– Australian Institute of Economics (AIE), 2019</w:t>
      </w:r>
    </w:p>
    <w:p>
      <w:pPr>
        <w:numPr>
          <w:ilvl w:val="0"/>
          <w:numId w:val="1005"/>
        </w:numPr>
        <w:pStyle w:val="Compact"/>
      </w:pPr>
      <w:r>
        <w:rPr>
          <w:bCs/>
          <w:b/>
        </w:rPr>
        <w:t xml:space="preserve">Advanced Excel and Data Analytics Certification</w:t>
      </w:r>
      <w:r>
        <w:t xml:space="preserve"> </w:t>
      </w:r>
      <w:r>
        <w:t xml:space="preserve">– Coursera, 2021</w:t>
      </w:r>
    </w:p>
    <w:p>
      <w:pPr>
        <w:numPr>
          <w:ilvl w:val="0"/>
          <w:numId w:val="1005"/>
        </w:numPr>
        <w:pStyle w:val="Compact"/>
      </w:pPr>
      <w:r>
        <w:rPr>
          <w:bCs/>
          <w:b/>
        </w:rPr>
        <w:t xml:space="preserve">CFA Level II Candidate</w:t>
      </w:r>
      <w:r>
        <w:t xml:space="preserve"> </w:t>
      </w:r>
      <w:r>
        <w:t xml:space="preserve">– CFA Institute, 2023</w:t>
      </w:r>
    </w:p>
    <w:bookmarkEnd w:id="29"/>
    <w:bookmarkStart w:id="30" w:name="publishing-and-research-contributions"/>
    <w:p>
      <w:pPr>
        <w:pStyle w:val="Heading2"/>
      </w:pPr>
      <w:r>
        <w:t xml:space="preserve">Publishing and Research Contributions</w:t>
      </w:r>
    </w:p>
    <w:p>
      <w:pPr>
        <w:numPr>
          <w:ilvl w:val="0"/>
          <w:numId w:val="1006"/>
        </w:numPr>
        <w:pStyle w:val="Compact"/>
      </w:pPr>
      <w:r>
        <w:t xml:space="preserve">"Economic Impacts of Tourism in Melbourne: A Post-Pandemic Analysis" (AIE Research Paper, 2021)</w:t>
      </w:r>
    </w:p>
    <w:p>
      <w:pPr>
        <w:numPr>
          <w:ilvl w:val="0"/>
          <w:numId w:val="1006"/>
        </w:numPr>
        <w:pStyle w:val="Compact"/>
      </w:pPr>
      <w:r>
        <w:t xml:space="preserve">"Workforce Trends in Victoria’s Tech Sector: Opportunities and Challenges" (VUERC Report, 2019)</w:t>
      </w:r>
    </w:p>
    <w:p>
      <w:pPr>
        <w:numPr>
          <w:ilvl w:val="0"/>
          <w:numId w:val="1006"/>
        </w:numPr>
        <w:pStyle w:val="Compact"/>
      </w:pPr>
      <w:r>
        <w:t xml:space="preserve">Contributor to the "Australian Economic Outlook" series for The Australian Financial Review (2018–2023).</w:t>
      </w:r>
    </w:p>
    <w:bookmarkEnd w:id="30"/>
    <w:bookmarkStart w:id="31" w:name="professional-affiliations"/>
    <w:p>
      <w:pPr>
        <w:pStyle w:val="Heading2"/>
      </w:pPr>
      <w:r>
        <w:t xml:space="preserve">Professional Affiliations</w:t>
      </w:r>
    </w:p>
    <w:p>
      <w:pPr>
        <w:numPr>
          <w:ilvl w:val="0"/>
          <w:numId w:val="1007"/>
        </w:numPr>
        <w:pStyle w:val="Compact"/>
      </w:pPr>
      <w:r>
        <w:t xml:space="preserve">Member, Australian Economic Society (AES)</w:t>
      </w:r>
    </w:p>
    <w:p>
      <w:pPr>
        <w:numPr>
          <w:ilvl w:val="0"/>
          <w:numId w:val="1007"/>
        </w:numPr>
        <w:pStyle w:val="Compact"/>
      </w:pPr>
      <w:r>
        <w:t xml:space="preserve">Member, Melbourne Economics Association</w:t>
      </w:r>
    </w:p>
    <w:p>
      <w:pPr>
        <w:numPr>
          <w:ilvl w:val="0"/>
          <w:numId w:val="1007"/>
        </w:numPr>
        <w:pStyle w:val="Compact"/>
      </w:pPr>
      <w:r>
        <w:t xml:space="preserve">Volunteer Researcher, Victorian Government’s Economic Development Committee (2017–2019)</w:t>
      </w:r>
    </w:p>
    <w:bookmarkEnd w:id="31"/>
    <w:bookmarkStart w:id="34" w:name="projects-and-initiatives"/>
    <w:p>
      <w:pPr>
        <w:pStyle w:val="Heading2"/>
      </w:pPr>
      <w:r>
        <w:t xml:space="preserve">Projects and Initiatives</w:t>
      </w:r>
    </w:p>
    <w:bookmarkStart w:id="32" w:name="melbourne-regional-growth-strategy-2018"/>
    <w:p>
      <w:pPr>
        <w:pStyle w:val="Heading3"/>
      </w:pPr>
      <w:r>
        <w:t xml:space="preserve">Melbourne Regional Growth Strategy (2018)</w:t>
      </w:r>
    </w:p>
    <w:p>
      <w:pPr>
        <w:pStyle w:val="FirstParagraph"/>
      </w:pPr>
      <w:r>
        <w:t xml:space="preserve">Collaborated with local stakeholders to design a framework for sustainable urban development, emphasizing housing affordability and transport efficiency.</w:t>
      </w:r>
    </w:p>
    <w:bookmarkEnd w:id="32"/>
    <w:bookmarkStart w:id="33" w:name="australian-trade-policy-analysis-2017"/>
    <w:p>
      <w:pPr>
        <w:pStyle w:val="Heading3"/>
      </w:pPr>
      <w:r>
        <w:t xml:space="preserve">Australian Trade Policy Analysis (2017)</w:t>
      </w:r>
    </w:p>
    <w:p>
      <w:pPr>
        <w:pStyle w:val="FirstParagraph"/>
      </w:pPr>
      <w:r>
        <w:t xml:space="preserve">Conducted a comparative analysis of trade agreements between Australia and key partners, highlighting implications for Melbourne’s export-oriented industries.</w:t>
      </w:r>
    </w:p>
    <w:bookmarkEnd w:id="33"/>
    <w:bookmarkEnd w:id="34"/>
    <w:bookmarkStart w:id="35" w:name="references"/>
    <w:p>
      <w:pPr>
        <w:pStyle w:val="Heading2"/>
      </w:pPr>
      <w:r>
        <w:t xml:space="preserve">References</w:t>
      </w:r>
    </w:p>
    <w:p>
      <w:pPr>
        <w:pStyle w:val="FirstParagraph"/>
      </w:pPr>
      <w:r>
        <w:t xml:space="preserve">Available upon request. Includes contact details for former supervisors at the University of Melbourne and Deloitte Australia.</w:t>
      </w:r>
    </w:p>
    <w:p>
      <w:pPr>
        <w:pStyle w:val="BodyText"/>
      </w:pPr>
      <w:r>
        <w:rPr>
          <w:bCs/>
          <w:b/>
        </w:rPr>
        <w:t xml:space="preserve">Note:</w:t>
      </w:r>
      <w:r>
        <w:t xml:space="preserve"> </w:t>
      </w:r>
      <w:r>
        <w:t xml:space="preserve">This Curriculum Vitae is tailored to highlight expertise as an Economist in Australia, with a focus on Melbourne’s unique economic landscape. It emphasizes skills, experiences, and achievements directly relevant to the Australian context, ensuring alignment with local industry standards and opportunities.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Australia Melbourne</dc:title>
  <dc:creator/>
  <dc:language>en</dc:language>
  <cp:keywords/>
  <dcterms:created xsi:type="dcterms:W3CDTF">2026-07-21T10:39:15Z</dcterms:created>
  <dcterms:modified xsi:type="dcterms:W3CDTF">2026-07-21T10:39:15Z</dcterms:modified>
</cp:coreProperties>
</file>

<file path=docProps/custom.xml><?xml version="1.0" encoding="utf-8"?>
<Properties xmlns="http://schemas.openxmlformats.org/officeDocument/2006/custom-properties" xmlns:vt="http://schemas.openxmlformats.org/officeDocument/2006/docPropsVTypes"/>
</file>