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p>
    <w:bookmarkStart w:id="31" w:name="curriculum-vitae"/>
    <w:p>
      <w:pPr>
        <w:pStyle w:val="Heading1"/>
      </w:pPr>
      <w:r>
        <w:t xml:space="preserve">Curriculum Vitae</w:t>
      </w:r>
    </w:p>
    <w:bookmarkStart w:id="30" w:name="judge-justice-ravi-kumar-sharma"/>
    <w:p>
      <w:pPr>
        <w:pStyle w:val="Heading2"/>
      </w:pPr>
      <w:r>
        <w:t xml:space="preserve">Judge: Justice Ravi Kumar Sharma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Justice Ravi Kumar Sharma</w:t>
      </w:r>
      <w:r>
        <w:br/>
      </w:r>
      <w:r>
        <w:rPr>
          <w:bCs/>
          <w:b/>
        </w:rPr>
        <w:t xml:space="preserve">Email:</w:t>
      </w:r>
      <w:r>
        <w:t xml:space="preserve"> </w:t>
      </w:r>
      <w:r>
        <w:t xml:space="preserve">ravi.sharma.judge@bombayhighcourt.in</w:t>
      </w:r>
      <w:r>
        <w:br/>
      </w:r>
      <w:r>
        <w:rPr>
          <w:bCs/>
          <w:b/>
        </w:rPr>
        <w:t xml:space="preserve">Phone:</w:t>
      </w:r>
      <w:r>
        <w:t xml:space="preserve"> </w:t>
      </w:r>
      <w:r>
        <w:t xml:space="preserve">+91-22-12345678</w:t>
      </w:r>
      <w:r>
        <w:br/>
      </w:r>
      <w:r>
        <w:rPr>
          <w:bCs/>
          <w:b/>
        </w:rPr>
        <w:t xml:space="preserve">Address:</w:t>
      </w:r>
      <w:r>
        <w:t xml:space="preserve"> </w:t>
      </w:r>
      <w:r>
        <w:t xml:space="preserve">103, Sardar Patel Marg, Mumbai, Maharashtra - 400007, India</w:t>
      </w:r>
    </w:p>
    <w:bookmarkEnd w:id="20"/>
    <w:bookmarkStart w:id="21" w:name="professional-summary"/>
    <w:p>
      <w:pPr>
        <w:pStyle w:val="Heading3"/>
      </w:pPr>
      <w:r>
        <w:t xml:space="preserve">Professional Summary</w:t>
      </w:r>
    </w:p>
    <w:p>
      <w:pPr>
        <w:pStyle w:val="FirstParagraph"/>
      </w:pPr>
      <w:r>
        <w:t xml:space="preserve">A seasoned and respected Judge with over 25 years of dedicated service in the judiciary system of India, particularly in Mumbai. Specialized in criminal law, civil litigation, and constitutional adjudication. Committed to upholding the rule of law, ensuring equitable justice delivery, and fostering judicial reforms tailored to the needs of India’s diverse population. Recognized for integrity, impartiality, and a deep understanding of legal principles that align with the values enshrined in the Constitution of India.</w:t>
      </w:r>
    </w:p>
    <w:bookmarkEnd w:id="21"/>
    <w:bookmarkStart w:id="22" w:name="education"/>
    <w:p>
      <w:pPr>
        <w:pStyle w:val="Heading3"/>
      </w:pPr>
      <w:r>
        <w:t xml:space="preserve">Education</w:t>
      </w:r>
    </w:p>
    <w:p>
      <w:pPr>
        <w:numPr>
          <w:ilvl w:val="0"/>
          <w:numId w:val="1001"/>
        </w:numPr>
        <w:pStyle w:val="Compact"/>
      </w:pPr>
      <w:r>
        <w:rPr>
          <w:bCs/>
          <w:b/>
        </w:rPr>
        <w:t xml:space="preserve">Bachelor of Law (LL.B.)</w:t>
      </w:r>
      <w:r>
        <w:t xml:space="preserve">, University of Mumbai, 1995</w:t>
      </w:r>
    </w:p>
    <w:p>
      <w:pPr>
        <w:numPr>
          <w:ilvl w:val="0"/>
          <w:numId w:val="1001"/>
        </w:numPr>
        <w:pStyle w:val="Compact"/>
      </w:pPr>
      <w:r>
        <w:rPr>
          <w:bCs/>
          <w:b/>
        </w:rPr>
        <w:t xml:space="preserve">Master of Laws (LL.M.)</w:t>
      </w:r>
      <w:r>
        <w:t xml:space="preserve">, National Law School of India University, Bangalore, 1998</w:t>
      </w:r>
    </w:p>
    <w:p>
      <w:pPr>
        <w:numPr>
          <w:ilvl w:val="0"/>
          <w:numId w:val="1001"/>
        </w:numPr>
        <w:pStyle w:val="Compact"/>
      </w:pPr>
      <w:r>
        <w:rPr>
          <w:bCs/>
          <w:b/>
        </w:rPr>
        <w:t xml:space="preserve">Postgraduate Diploma in Judicial Studies</w:t>
      </w:r>
      <w:r>
        <w:t xml:space="preserve">, National Judicial Academy, Bhopal, 2003</w:t>
      </w:r>
    </w:p>
    <w:bookmarkEnd w:id="22"/>
    <w:bookmarkStart w:id="23" w:name="legal-career-highlights"/>
    <w:p>
      <w:pPr>
        <w:pStyle w:val="Heading3"/>
      </w:pPr>
      <w:r>
        <w:t xml:space="preserve">Legal Career Highlights</w:t>
      </w:r>
    </w:p>
    <w:p>
      <w:pPr>
        <w:pStyle w:val="FirstParagraph"/>
      </w:pPr>
      <w:r>
        <w:t xml:space="preserve">Justice Ravi Kumar Sharma began his legal career as a practicing advocate in Mumbai in 1995. Over the years, he gained extensive experience in litigation across various courts, including the Bombay High Court and subordinate judiciary. His expertise spans criminal law, matrimonial disputes, property rights, and constitutional law.</w:t>
      </w:r>
    </w:p>
    <w:p>
      <w:pPr>
        <w:numPr>
          <w:ilvl w:val="0"/>
          <w:numId w:val="1002"/>
        </w:numPr>
        <w:pStyle w:val="Compact"/>
      </w:pPr>
      <w:r>
        <w:rPr>
          <w:bCs/>
          <w:b/>
        </w:rPr>
        <w:t xml:space="preserve">Senior Advocate</w:t>
      </w:r>
      <w:r>
        <w:t xml:space="preserve">, Mumbai Bar Association (2005–2015)</w:t>
      </w:r>
    </w:p>
    <w:p>
      <w:pPr>
        <w:numPr>
          <w:ilvl w:val="0"/>
          <w:numId w:val="1002"/>
        </w:numPr>
        <w:pStyle w:val="Compact"/>
      </w:pPr>
      <w:r>
        <w:rPr>
          <w:bCs/>
          <w:b/>
        </w:rPr>
        <w:t xml:space="preserve">District Judge</w:t>
      </w:r>
      <w:r>
        <w:t xml:space="preserve">, Mumbai (2015–2018)</w:t>
      </w:r>
    </w:p>
    <w:p>
      <w:pPr>
        <w:numPr>
          <w:ilvl w:val="0"/>
          <w:numId w:val="1002"/>
        </w:numPr>
        <w:pStyle w:val="Compact"/>
      </w:pPr>
      <w:r>
        <w:rPr>
          <w:bCs/>
          <w:b/>
        </w:rPr>
        <w:t xml:space="preserve">Additional Sessions Judge</w:t>
      </w:r>
      <w:r>
        <w:t xml:space="preserve">, Bombay High Court (2018–2021)</w:t>
      </w:r>
    </w:p>
    <w:p>
      <w:pPr>
        <w:numPr>
          <w:ilvl w:val="0"/>
          <w:numId w:val="1002"/>
        </w:numPr>
        <w:pStyle w:val="Compact"/>
      </w:pPr>
      <w:r>
        <w:rPr>
          <w:bCs/>
          <w:b/>
        </w:rPr>
        <w:t xml:space="preserve">Judge, Bombay High Court</w:t>
      </w:r>
      <w:r>
        <w:t xml:space="preserve"> </w:t>
      </w:r>
      <w:r>
        <w:t xml:space="preserve">(2021–Present)</w:t>
      </w:r>
    </w:p>
    <w:bookmarkEnd w:id="23"/>
    <w:bookmarkStart w:id="24" w:name="judicial-experience-in-india-mumbai"/>
    <w:p>
      <w:pPr>
        <w:pStyle w:val="Heading3"/>
      </w:pPr>
      <w:r>
        <w:t xml:space="preserve">Judicial Experience in India Mumbai</w:t>
      </w:r>
    </w:p>
    <w:p>
      <w:pPr>
        <w:pStyle w:val="FirstParagraph"/>
      </w:pPr>
      <w:r>
        <w:t xml:space="preserve">As a Judge in the judiciary system of India, particularly in Mumbai, Justice Sharma has presided over thousands of cases with meticulous attention to detail and a focus on fairness. His work at the Bombay High Court has addressed critical legal issues affecting the citizens of India Mumbai, including:</w:t>
      </w:r>
    </w:p>
    <w:p>
      <w:pPr>
        <w:numPr>
          <w:ilvl w:val="0"/>
          <w:numId w:val="1003"/>
        </w:numPr>
        <w:pStyle w:val="Compact"/>
      </w:pPr>
      <w:r>
        <w:t xml:space="preserve">Delivering landmark judgments on human rights, environmental law, and corporate governance.</w:t>
      </w:r>
    </w:p>
    <w:p>
      <w:pPr>
        <w:numPr>
          <w:ilvl w:val="0"/>
          <w:numId w:val="1003"/>
        </w:numPr>
        <w:pStyle w:val="Compact"/>
      </w:pPr>
      <w:r>
        <w:t xml:space="preserve">Ensuring timely disposal of cases through judicial efficiency initiatives.</w:t>
      </w:r>
    </w:p>
    <w:p>
      <w:pPr>
        <w:numPr>
          <w:ilvl w:val="0"/>
          <w:numId w:val="1003"/>
        </w:numPr>
        <w:pStyle w:val="Compact"/>
      </w:pPr>
      <w:r>
        <w:t xml:space="preserve">Mentoring junior advocates and judges to uphold the standards of the legal profession in India Mumbai.</w:t>
      </w:r>
    </w:p>
    <w:p>
      <w:pPr>
        <w:pStyle w:val="FirstParagraph"/>
      </w:pPr>
      <w:r>
        <w:t xml:space="preserve">His tenure as a District Judge in Mumbai (2015–2018) involved managing complex civil and criminal matters, emphasizing transparency and public trust in the judicial system. As an Additional Sessions Judge, he oversaw high-profile criminal trials, demonstrating a commitment to justice without fear or favor.</w:t>
      </w:r>
    </w:p>
    <w:bookmarkEnd w:id="24"/>
    <w:bookmarkStart w:id="25" w:name="professional-memberships"/>
    <w:p>
      <w:pPr>
        <w:pStyle w:val="Heading3"/>
      </w:pPr>
      <w:r>
        <w:t xml:space="preserve">Professional Memberships</w:t>
      </w:r>
    </w:p>
    <w:p>
      <w:pPr>
        <w:numPr>
          <w:ilvl w:val="0"/>
          <w:numId w:val="1004"/>
        </w:numPr>
        <w:pStyle w:val="Compact"/>
      </w:pPr>
      <w:r>
        <w:rPr>
          <w:bCs/>
          <w:b/>
        </w:rPr>
        <w:t xml:space="preserve">Bar Association of India</w:t>
      </w:r>
    </w:p>
    <w:p>
      <w:pPr>
        <w:numPr>
          <w:ilvl w:val="0"/>
          <w:numId w:val="1004"/>
        </w:numPr>
        <w:pStyle w:val="Compact"/>
      </w:pPr>
      <w:r>
        <w:rPr>
          <w:bCs/>
          <w:b/>
        </w:rPr>
        <w:t xml:space="preserve">Maharashtra State Legal Services Authority</w:t>
      </w:r>
    </w:p>
    <w:p>
      <w:pPr>
        <w:numPr>
          <w:ilvl w:val="0"/>
          <w:numId w:val="1004"/>
        </w:numPr>
        <w:pStyle w:val="Compact"/>
      </w:pPr>
      <w:r>
        <w:rPr>
          <w:bCs/>
          <w:b/>
        </w:rPr>
        <w:t xml:space="preserve">Indian Law Institute (ILI), New Delhi</w:t>
      </w:r>
    </w:p>
    <w:p>
      <w:pPr>
        <w:numPr>
          <w:ilvl w:val="0"/>
          <w:numId w:val="1004"/>
        </w:numPr>
        <w:pStyle w:val="Compact"/>
      </w:pPr>
      <w:r>
        <w:rPr>
          <w:bCs/>
          <w:b/>
        </w:rPr>
        <w:t xml:space="preserve">International Society for Judicial Independence and World Peace (ISJIP)</w:t>
      </w:r>
    </w:p>
    <w:bookmarkEnd w:id="25"/>
    <w:bookmarkStart w:id="26" w:name="honors-and-awards"/>
    <w:p>
      <w:pPr>
        <w:pStyle w:val="Heading3"/>
      </w:pPr>
      <w:r>
        <w:t xml:space="preserve">Honors and Awards</w:t>
      </w:r>
    </w:p>
    <w:p>
      <w:pPr>
        <w:numPr>
          <w:ilvl w:val="0"/>
          <w:numId w:val="1005"/>
        </w:numPr>
        <w:pStyle w:val="Compact"/>
      </w:pPr>
      <w:r>
        <w:rPr>
          <w:bCs/>
          <w:b/>
        </w:rPr>
        <w:t xml:space="preserve">Best Judicial Officer Award</w:t>
      </w:r>
      <w:r>
        <w:t xml:space="preserve">, Bombay High Court (2019)</w:t>
      </w:r>
    </w:p>
    <w:p>
      <w:pPr>
        <w:numPr>
          <w:ilvl w:val="0"/>
          <w:numId w:val="1005"/>
        </w:numPr>
        <w:pStyle w:val="Compact"/>
      </w:pPr>
      <w:r>
        <w:rPr>
          <w:bCs/>
          <w:b/>
        </w:rPr>
        <w:t xml:space="preserve">Excellence in Legal Advocacy</w:t>
      </w:r>
      <w:r>
        <w:t xml:space="preserve">, Mumbai Bar Association (2017)</w:t>
      </w:r>
    </w:p>
    <w:p>
      <w:pPr>
        <w:numPr>
          <w:ilvl w:val="0"/>
          <w:numId w:val="1005"/>
        </w:numPr>
        <w:pStyle w:val="Compact"/>
      </w:pPr>
      <w:r>
        <w:rPr>
          <w:bCs/>
          <w:b/>
        </w:rPr>
        <w:t xml:space="preserve">National Jurist of the Year</w:t>
      </w:r>
      <w:r>
        <w:t xml:space="preserve">, Legal Times India (2020)</w:t>
      </w:r>
    </w:p>
    <w:bookmarkEnd w:id="26"/>
    <w:bookmarkStart w:id="27" w:name="publications-and-lectures"/>
    <w:p>
      <w:pPr>
        <w:pStyle w:val="Heading3"/>
      </w:pPr>
      <w:r>
        <w:t xml:space="preserve">Publications and Lectures</w:t>
      </w:r>
    </w:p>
    <w:p>
      <w:pPr>
        <w:pStyle w:val="FirstParagraph"/>
      </w:pPr>
      <w:r>
        <w:t xml:space="preserve">Justice Sharma has contributed to legal discourse through publications and lectures on topics relevant to the judiciary in India Mumbai:</w:t>
      </w:r>
    </w:p>
    <w:p>
      <w:pPr>
        <w:numPr>
          <w:ilvl w:val="0"/>
          <w:numId w:val="1006"/>
        </w:numPr>
        <w:pStyle w:val="Compact"/>
      </w:pPr>
      <w:r>
        <w:rPr>
          <w:bCs/>
          <w:b/>
        </w:rPr>
        <w:t xml:space="preserve">Author</w:t>
      </w:r>
      <w:r>
        <w:t xml:space="preserve">: "Judicial Reforms in Modern India" (2018), published by LexisNexis.</w:t>
      </w:r>
    </w:p>
    <w:p>
      <w:pPr>
        <w:numPr>
          <w:ilvl w:val="0"/>
          <w:numId w:val="1006"/>
        </w:numPr>
        <w:pStyle w:val="Compact"/>
      </w:pPr>
      <w:r>
        <w:rPr>
          <w:bCs/>
          <w:b/>
        </w:rPr>
        <w:t xml:space="preserve">Lecturer</w:t>
      </w:r>
      <w:r>
        <w:t xml:space="preserve">: "The Role of Judiciary in Protecting Civil Liberties" at the National Judicial Academy, Bhopal (2021).</w:t>
      </w:r>
    </w:p>
    <w:p>
      <w:pPr>
        <w:numPr>
          <w:ilvl w:val="0"/>
          <w:numId w:val="1006"/>
        </w:numPr>
        <w:pStyle w:val="Compact"/>
      </w:pPr>
      <w:r>
        <w:rPr>
          <w:bCs/>
          <w:b/>
        </w:rPr>
        <w:t xml:space="preserve">Panelist</w:t>
      </w:r>
      <w:r>
        <w:t xml:space="preserve">: "Ethics in Public Office" at the India Legal Conference, Mumbai (2023).</w:t>
      </w:r>
    </w:p>
    <w:bookmarkEnd w:id="27"/>
    <w:bookmarkStart w:id="28" w:name="languages-spoken"/>
    <w:p>
      <w:pPr>
        <w:pStyle w:val="Heading3"/>
      </w:pPr>
      <w:r>
        <w:t xml:space="preserve">Languages Spoken</w:t>
      </w:r>
    </w:p>
    <w:p>
      <w:pPr>
        <w:numPr>
          <w:ilvl w:val="0"/>
          <w:numId w:val="1007"/>
        </w:numPr>
        <w:pStyle w:val="Compact"/>
      </w:pPr>
      <w:r>
        <w:t xml:space="preserve">English (Fluent)</w:t>
      </w:r>
    </w:p>
    <w:p>
      <w:pPr>
        <w:numPr>
          <w:ilvl w:val="0"/>
          <w:numId w:val="1007"/>
        </w:numPr>
        <w:pStyle w:val="Compact"/>
      </w:pPr>
      <w:r>
        <w:t xml:space="preserve">Hindi (Fluent)</w:t>
      </w:r>
    </w:p>
    <w:p>
      <w:pPr>
        <w:numPr>
          <w:ilvl w:val="0"/>
          <w:numId w:val="1007"/>
        </w:numPr>
        <w:pStyle w:val="Compact"/>
      </w:pPr>
      <w:r>
        <w:t xml:space="preserve">Marathi (Proficient)</w:t>
      </w:r>
    </w:p>
    <w:p>
      <w:pPr>
        <w:numPr>
          <w:ilvl w:val="0"/>
          <w:numId w:val="1007"/>
        </w:numPr>
        <w:pStyle w:val="Compact"/>
      </w:pPr>
      <w:r>
        <w:t xml:space="preserve">Gujarati (Basic Proficiency)</w:t>
      </w:r>
    </w:p>
    <w:bookmarkEnd w:id="28"/>
    <w:bookmarkStart w:id="29" w:name="references"/>
    <w:p>
      <w:pPr>
        <w:pStyle w:val="Heading3"/>
      </w:pPr>
      <w:r>
        <w:t xml:space="preserve">References</w:t>
      </w:r>
    </w:p>
    <w:p>
      <w:pPr>
        <w:pStyle w:val="FirstParagraph"/>
      </w:pP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dc:title>
  <dc:creator/>
  <dc:language>en</dc:language>
  <cp:keywords/>
  <dcterms:created xsi:type="dcterms:W3CDTF">2026-07-21T07:17:59Z</dcterms:created>
  <dcterms:modified xsi:type="dcterms:W3CDTF">2026-07-21T07:17:59Z</dcterms:modified>
</cp:coreProperties>
</file>

<file path=docProps/custom.xml><?xml version="1.0" encoding="utf-8"?>
<Properties xmlns="http://schemas.openxmlformats.org/officeDocument/2006/custom-properties" xmlns:vt="http://schemas.openxmlformats.org/officeDocument/2006/docPropsVTypes"/>
</file>