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20" w:name="judge-in-saudi-arabia-jeddah"/>
    <w:p>
      <w:pPr>
        <w:pStyle w:val="Heading2"/>
      </w:pPr>
      <w:r>
        <w:t xml:space="preserve">JUDGE IN SAUDI ARABIA JEDDAH</w:t>
      </w:r>
    </w:p>
    <w:p>
      <w:pPr>
        <w:pStyle w:val="FirstParagraph"/>
      </w:pPr>
      <w:r>
        <w:rPr>
          <w:bCs/>
          <w:b/>
        </w:rPr>
        <w:t xml:space="preserve">Name:</w:t>
      </w:r>
      <w:r>
        <w:t xml:space="preserve"> </w:t>
      </w:r>
      <w:r>
        <w:t xml:space="preserve">Dr. Abdullah bin Mohammad Al-Farhan</w:t>
      </w:r>
      <w:r>
        <w:br/>
      </w:r>
      <w:r>
        <w:rPr>
          <w:bCs/>
          <w:b/>
        </w:rPr>
        <w:t xml:space="preserve">Nationality:</w:t>
      </w:r>
      <w:r>
        <w:t xml:space="preserve"> </w:t>
      </w:r>
      <w:r>
        <w:t xml:space="preserve">Saudi Arabian</w:t>
      </w:r>
      <w:r>
        <w:br/>
      </w:r>
      <w:r>
        <w:rPr>
          <w:bCs/>
          <w:b/>
        </w:rPr>
        <w:t xml:space="preserve">Address:</w:t>
      </w:r>
      <w:r>
        <w:t xml:space="preserve"> </w:t>
      </w:r>
      <w:r>
        <w:t xml:space="preserve">Jeddah, Kingdom of Saudi Arabia</w:t>
      </w:r>
      <w:r>
        <w:br/>
      </w:r>
      <w:r>
        <w:rPr>
          <w:bCs/>
          <w:b/>
        </w:rPr>
        <w:t xml:space="preserve">Email:</w:t>
      </w:r>
      <w:r>
        <w:t xml:space="preserve"> </w:t>
      </w:r>
      <w:r>
        <w:t xml:space="preserve">abdullah.judge@justice.gov.sa</w:t>
      </w:r>
      <w:r>
        <w:br/>
      </w:r>
      <w:r>
        <w:rPr>
          <w:bCs/>
          <w:b/>
        </w:rPr>
        <w:t xml:space="preserve">Contact Number:</w:t>
      </w:r>
      <w:r>
        <w:t xml:space="preserve"> </w:t>
      </w:r>
      <w:r>
        <w:t xml:space="preserve">+966 55 123 4567</w:t>
      </w:r>
    </w:p>
    <w:bookmarkEnd w:id="20"/>
    <w:bookmarkStart w:id="21" w:name="professional-summary"/>
    <w:p>
      <w:pPr>
        <w:pStyle w:val="Heading2"/>
      </w:pPr>
      <w:r>
        <w:t xml:space="preserve">Professional Summary</w:t>
      </w:r>
    </w:p>
    <w:p>
      <w:pPr>
        <w:pStyle w:val="FirstParagraph"/>
      </w:pPr>
      <w:r>
        <w:t xml:space="preserve">A distinguished legal professional with over 18 years of experience in the Saudi Arabian judiciary, specializing in Islamic law (Sharia), civil litigation, and administrative justice. A certified Judge in Jeddah, Saudi Arabia, with a proven track record of delivering fair rulings aligned with the Kingdom’s Qanun (civil code) and Sharia principles. Committed to upholding justice and legal integrity within the framework of Saudi Arabia's Vision 2030 initiatives. Demonstrates exceptional analytical skills, ethical judgment, and a deep understanding of both local and international legal systems.</w:t>
      </w:r>
    </w:p>
    <w:bookmarkEnd w:id="21"/>
    <w:bookmarkStart w:id="22" w:name="education"/>
    <w:p>
      <w:pPr>
        <w:pStyle w:val="Heading2"/>
      </w:pPr>
      <w:r>
        <w:t xml:space="preserve">Education</w:t>
      </w:r>
    </w:p>
    <w:p>
      <w:pPr>
        <w:pStyle w:val="FirstParagraph"/>
      </w:pPr>
      <w:r>
        <w:rPr>
          <w:bCs/>
          <w:b/>
        </w:rPr>
        <w:t xml:space="preserve">Bachelor of Laws (LL.B.)</w:t>
      </w:r>
      <w:r>
        <w:br/>
      </w:r>
      <w:r>
        <w:t xml:space="preserve">King Abdulaziz University, Jeddah, Saudi Arabia</w:t>
      </w:r>
      <w:r>
        <w:br/>
      </w:r>
      <w:r>
        <w:t xml:space="preserve">Graduated: 2005</w:t>
      </w:r>
      <w:r>
        <w:br/>
      </w:r>
      <w:r>
        <w:t xml:space="preserve">Specialization: Islamic Jurisprudence and Civil Law</w:t>
      </w:r>
    </w:p>
    <w:p>
      <w:pPr>
        <w:pStyle w:val="BodyText"/>
      </w:pPr>
      <w:r>
        <w:rPr>
          <w:bCs/>
          <w:b/>
        </w:rPr>
        <w:t xml:space="preserve">Master of Laws (LL.M.) in Sharia and International Law</w:t>
      </w:r>
      <w:r>
        <w:br/>
      </w:r>
      <w:r>
        <w:t xml:space="preserve">Islamic University of Madinah, Saudi Arabia</w:t>
      </w:r>
      <w:r>
        <w:br/>
      </w:r>
      <w:r>
        <w:t xml:space="preserve">Graduated: 2008</w:t>
      </w:r>
      <w:r>
        <w:br/>
      </w:r>
      <w:r>
        <w:t xml:space="preserve">Focus Areas: Comparative Legal Systems, Human Rights under Sharia, and Judicial Ethics</w:t>
      </w:r>
    </w:p>
    <w:p>
      <w:pPr>
        <w:pStyle w:val="BodyText"/>
      </w:pPr>
      <w:r>
        <w:rPr>
          <w:bCs/>
          <w:b/>
        </w:rPr>
        <w:t xml:space="preserve">Doctorate in Islamic Jurisprudence (Ph.D.)</w:t>
      </w:r>
      <w:r>
        <w:br/>
      </w:r>
      <w:r>
        <w:t xml:space="preserve">King Saud University, Riyadh, Saudi Arabia</w:t>
      </w:r>
      <w:r>
        <w:br/>
      </w:r>
      <w:r>
        <w:t xml:space="preserve">Graduated: 2013</w:t>
      </w:r>
      <w:r>
        <w:br/>
      </w:r>
      <w:r>
        <w:t xml:space="preserve">Thesis Title: "The Role of Qanun in Modernizing Sharia-Based Judiciaries in Jeddah"</w:t>
      </w:r>
    </w:p>
    <w:bookmarkEnd w:id="22"/>
    <w:bookmarkStart w:id="26" w:name="professional-experience"/>
    <w:p>
      <w:pPr>
        <w:pStyle w:val="Heading2"/>
      </w:pPr>
      <w:r>
        <w:t xml:space="preserve">Professional Experience</w:t>
      </w:r>
    </w:p>
    <w:bookmarkStart w:id="23" w:name="Xe5bd02b479a9670364fc4c508896af391f41fcc"/>
    <w:p>
      <w:pPr>
        <w:pStyle w:val="Heading3"/>
      </w:pPr>
      <w:r>
        <w:t xml:space="preserve">Judge at the Court of First Instance, Jeddah</w:t>
      </w:r>
    </w:p>
    <w:p>
      <w:pPr>
        <w:pStyle w:val="FirstParagraph"/>
      </w:pPr>
      <w:r>
        <w:rPr>
          <w:iCs/>
          <w:i/>
        </w:rPr>
        <w:t xml:space="preserve">January 2015 – Present</w:t>
      </w:r>
    </w:p>
    <w:p>
      <w:pPr>
        <w:numPr>
          <w:ilvl w:val="0"/>
          <w:numId w:val="1001"/>
        </w:numPr>
        <w:pStyle w:val="Compact"/>
      </w:pPr>
      <w:r>
        <w:t xml:space="preserve">Presided over civil, commercial, and family law cases in Jeddah’s judicial system, ensuring compliance with Saudi Arabia’s legal framework.</w:t>
      </w:r>
    </w:p>
    <w:p>
      <w:pPr>
        <w:numPr>
          <w:ilvl w:val="0"/>
          <w:numId w:val="1001"/>
        </w:numPr>
        <w:pStyle w:val="Compact"/>
      </w:pPr>
      <w:r>
        <w:t xml:space="preserve">Provided expert opinions on complex matters involving Islamic inheritance laws and contractual disputes in accordance with Sharia principles.</w:t>
      </w:r>
    </w:p>
    <w:p>
      <w:pPr>
        <w:numPr>
          <w:ilvl w:val="0"/>
          <w:numId w:val="1001"/>
        </w:numPr>
        <w:pStyle w:val="Compact"/>
      </w:pPr>
      <w:r>
        <w:t xml:space="preserve">Collaborated with the Ministry of Justice to streamline case management processes, reducing backlog by 25% through digitalization initiatives in Jeddah’s courts.</w:t>
      </w:r>
    </w:p>
    <w:p>
      <w:pPr>
        <w:numPr>
          <w:ilvl w:val="0"/>
          <w:numId w:val="1001"/>
        </w:numPr>
        <w:pStyle w:val="Compact"/>
      </w:pPr>
      <w:r>
        <w:t xml:space="preserve">Adjudicated cases involving international trade agreements, leveraging knowledge of both Qanun and global commercial law standards.</w:t>
      </w:r>
    </w:p>
    <w:bookmarkEnd w:id="23"/>
    <w:bookmarkStart w:id="24" w:name="legal-advisor-jeddah-regional-court"/>
    <w:p>
      <w:pPr>
        <w:pStyle w:val="Heading3"/>
      </w:pPr>
      <w:r>
        <w:t xml:space="preserve">Legal Advisor, Jeddah Regional Court</w:t>
      </w:r>
    </w:p>
    <w:p>
      <w:pPr>
        <w:pStyle w:val="FirstParagraph"/>
      </w:pPr>
      <w:r>
        <w:rPr>
          <w:iCs/>
          <w:i/>
        </w:rPr>
        <w:t xml:space="preserve">August 2011 – December 2014</w:t>
      </w:r>
    </w:p>
    <w:p>
      <w:pPr>
        <w:numPr>
          <w:ilvl w:val="0"/>
          <w:numId w:val="1002"/>
        </w:numPr>
        <w:pStyle w:val="Compact"/>
      </w:pPr>
      <w:r>
        <w:t xml:space="preserve">Oversaw legal research and drafting of court rulings for high-profile cases in Jeddah, emphasizing fairness and alignment with the Kingdom’s legal reforms.</w:t>
      </w:r>
    </w:p>
    <w:p>
      <w:pPr>
        <w:numPr>
          <w:ilvl w:val="0"/>
          <w:numId w:val="1002"/>
        </w:numPr>
        <w:pStyle w:val="Compact"/>
      </w:pPr>
      <w:r>
        <w:t xml:space="preserve">Conducted workshops for junior judges on modernizing judicial procedures while adhering to Islamic values.</w:t>
      </w:r>
    </w:p>
    <w:p>
      <w:pPr>
        <w:numPr>
          <w:ilvl w:val="0"/>
          <w:numId w:val="1002"/>
        </w:numPr>
        <w:pStyle w:val="Compact"/>
      </w:pPr>
      <w:r>
        <w:t xml:space="preserve">Contributed to the development of training modules on digital case management systems tailored for Jeddah’s courts.</w:t>
      </w:r>
    </w:p>
    <w:bookmarkEnd w:id="24"/>
    <w:bookmarkStart w:id="25" w:name="assistant-judge-makkah-region-court"/>
    <w:p>
      <w:pPr>
        <w:pStyle w:val="Heading3"/>
      </w:pPr>
      <w:r>
        <w:t xml:space="preserve">Assistant Judge, Makkah Region Court</w:t>
      </w:r>
    </w:p>
    <w:p>
      <w:pPr>
        <w:pStyle w:val="FirstParagraph"/>
      </w:pPr>
      <w:r>
        <w:rPr>
          <w:iCs/>
          <w:i/>
        </w:rPr>
        <w:t xml:space="preserve">July 2008 – July 2011</w:t>
      </w:r>
    </w:p>
    <w:p>
      <w:pPr>
        <w:numPr>
          <w:ilvl w:val="0"/>
          <w:numId w:val="1003"/>
        </w:numPr>
        <w:pStyle w:val="Compact"/>
      </w:pPr>
      <w:r>
        <w:t xml:space="preserve">Aided in the adjudication of over 5,000 cases, including civil disputes and administrative appeals.</w:t>
      </w:r>
    </w:p>
    <w:p>
      <w:pPr>
        <w:numPr>
          <w:ilvl w:val="0"/>
          <w:numId w:val="1003"/>
        </w:numPr>
        <w:pStyle w:val="Compact"/>
      </w:pPr>
      <w:r>
        <w:t xml:space="preserve">Supported the implementation of Saudi Arabia’s Vision 2030 goals by promoting transparency and efficiency in judicial processes.</w:t>
      </w:r>
    </w:p>
    <w:p>
      <w:pPr>
        <w:numPr>
          <w:ilvl w:val="0"/>
          <w:numId w:val="1003"/>
        </w:numPr>
        <w:pStyle w:val="Compact"/>
      </w:pPr>
      <w:r>
        <w:t xml:space="preserve">Collaborated with local legal experts to resolve conflicts involving traditional tribal laws and modern Qanun provisions.</w:t>
      </w:r>
    </w:p>
    <w:bookmarkEnd w:id="25"/>
    <w:bookmarkEnd w:id="26"/>
    <w:bookmarkStart w:id="27" w:name="certifications-and-licenses"/>
    <w:p>
      <w:pPr>
        <w:pStyle w:val="Heading2"/>
      </w:pPr>
      <w:r>
        <w:t xml:space="preserve">Certifications and Licenses</w:t>
      </w:r>
    </w:p>
    <w:p>
      <w:pPr>
        <w:numPr>
          <w:ilvl w:val="0"/>
          <w:numId w:val="1004"/>
        </w:numPr>
        <w:pStyle w:val="Compact"/>
      </w:pPr>
      <w:r>
        <w:rPr>
          <w:bCs/>
          <w:b/>
        </w:rPr>
        <w:t xml:space="preserve">License to Practice Law in Saudi Arabia</w:t>
      </w:r>
      <w:r>
        <w:t xml:space="preserve"> </w:t>
      </w:r>
      <w:r>
        <w:t xml:space="preserve">– Saudi Bar Association, 2005</w:t>
      </w:r>
    </w:p>
    <w:p>
      <w:pPr>
        <w:numPr>
          <w:ilvl w:val="0"/>
          <w:numId w:val="1004"/>
        </w:numPr>
        <w:pStyle w:val="Compact"/>
      </w:pPr>
      <w:r>
        <w:rPr>
          <w:bCs/>
          <w:b/>
        </w:rPr>
        <w:t xml:space="preserve">Judicial Training Program, Jeddah Judicial Academy</w:t>
      </w:r>
      <w:r>
        <w:t xml:space="preserve"> </w:t>
      </w:r>
      <w:r>
        <w:t xml:space="preserve">– 2014 (Certificate of Excellence)</w:t>
      </w:r>
    </w:p>
    <w:p>
      <w:pPr>
        <w:numPr>
          <w:ilvl w:val="0"/>
          <w:numId w:val="1004"/>
        </w:numPr>
        <w:pStyle w:val="Compact"/>
      </w:pPr>
      <w:r>
        <w:rPr>
          <w:bCs/>
          <w:b/>
        </w:rPr>
        <w:t xml:space="preserve">Certification in Mediation and Alternative Dispute Resolution (ADR)</w:t>
      </w:r>
      <w:r>
        <w:t xml:space="preserve"> </w:t>
      </w:r>
      <w:r>
        <w:t xml:space="preserve">– Saudi Legal Council, 2017</w:t>
      </w:r>
    </w:p>
    <w:p>
      <w:pPr>
        <w:numPr>
          <w:ilvl w:val="0"/>
          <w:numId w:val="1004"/>
        </w:numPr>
        <w:pStyle w:val="Compact"/>
      </w:pPr>
      <w:r>
        <w:rPr>
          <w:bCs/>
          <w:b/>
        </w:rPr>
        <w:t xml:space="preserve">Advanced Course on Islamic Jurisprudence and Modern Law</w:t>
      </w:r>
      <w:r>
        <w:t xml:space="preserve"> </w:t>
      </w:r>
      <w:r>
        <w:t xml:space="preserve">– King Abdulaziz University, 2019</w:t>
      </w:r>
    </w:p>
    <w:bookmarkEnd w:id="27"/>
    <w:bookmarkStart w:id="28" w:name="languages-and-skills"/>
    <w:p>
      <w:pPr>
        <w:pStyle w:val="Heading2"/>
      </w:pPr>
      <w:r>
        <w:t xml:space="preserve">Languages and Skills</w:t>
      </w:r>
    </w:p>
    <w:p>
      <w:pPr>
        <w:pStyle w:val="FirstParagraph"/>
      </w:pPr>
      <w:r>
        <w:rPr>
          <w:bCs/>
          <w:b/>
        </w:rPr>
        <w:t xml:space="preserve">Languages:</w:t>
      </w:r>
    </w:p>
    <w:p>
      <w:pPr>
        <w:numPr>
          <w:ilvl w:val="0"/>
          <w:numId w:val="1005"/>
        </w:numPr>
        <w:pStyle w:val="Compact"/>
      </w:pPr>
      <w:r>
        <w:t xml:space="preserve">Arabic (Native)</w:t>
      </w:r>
    </w:p>
    <w:p>
      <w:pPr>
        <w:numPr>
          <w:ilvl w:val="0"/>
          <w:numId w:val="1005"/>
        </w:numPr>
        <w:pStyle w:val="Compact"/>
      </w:pPr>
      <w:r>
        <w:t xml:space="preserve">English (Fluent – IELTS Band 7.5)</w:t>
      </w:r>
    </w:p>
    <w:p>
      <w:pPr>
        <w:numPr>
          <w:ilvl w:val="0"/>
          <w:numId w:val="1005"/>
        </w:numPr>
        <w:pStyle w:val="Compact"/>
      </w:pPr>
      <w:r>
        <w:t xml:space="preserve">French (Basic – Reading and Writing)</w:t>
      </w:r>
    </w:p>
    <w:p>
      <w:pPr>
        <w:pStyle w:val="FirstParagraph"/>
      </w:pPr>
      <w:r>
        <w:rPr>
          <w:bCs/>
          <w:b/>
        </w:rPr>
        <w:t xml:space="preserve">Technical Skills:</w:t>
      </w:r>
    </w:p>
    <w:p>
      <w:pPr>
        <w:numPr>
          <w:ilvl w:val="0"/>
          <w:numId w:val="1006"/>
        </w:numPr>
        <w:pStyle w:val="Compact"/>
      </w:pPr>
      <w:r>
        <w:t xml:space="preserve">Expertise in Saudi Qanun, Sharia law, and civil procedure codes</w:t>
      </w:r>
    </w:p>
    <w:p>
      <w:pPr>
        <w:numPr>
          <w:ilvl w:val="0"/>
          <w:numId w:val="1006"/>
        </w:numPr>
        <w:pStyle w:val="Compact"/>
      </w:pPr>
      <w:r>
        <w:t xml:space="preserve">Proficient in case management software (e.g., Jeddah Judicial System)</w:t>
      </w:r>
    </w:p>
    <w:p>
      <w:pPr>
        <w:numPr>
          <w:ilvl w:val="0"/>
          <w:numId w:val="1006"/>
        </w:numPr>
        <w:pStyle w:val="Compact"/>
      </w:pPr>
      <w:r>
        <w:t xml:space="preserve">Strong research and analytical abilities with a focus on legal interpretation</w:t>
      </w:r>
    </w:p>
    <w:p>
      <w:pPr>
        <w:numPr>
          <w:ilvl w:val="0"/>
          <w:numId w:val="1006"/>
        </w:numPr>
        <w:pStyle w:val="Compact"/>
      </w:pPr>
      <w:r>
        <w:t xml:space="preserve">Courtroom advocacy and public speaking skills</w:t>
      </w:r>
    </w:p>
    <w:bookmarkEnd w:id="28"/>
    <w:bookmarkStart w:id="29" w:name="awards-and-recognitions"/>
    <w:p>
      <w:pPr>
        <w:pStyle w:val="Heading2"/>
      </w:pPr>
      <w:r>
        <w:t xml:space="preserve">Awards and Recognitions</w:t>
      </w:r>
    </w:p>
    <w:p>
      <w:pPr>
        <w:numPr>
          <w:ilvl w:val="0"/>
          <w:numId w:val="1007"/>
        </w:numPr>
        <w:pStyle w:val="Compact"/>
      </w:pPr>
      <w:r>
        <w:rPr>
          <w:bCs/>
          <w:b/>
        </w:rPr>
        <w:t xml:space="preserve">Best Judicial Performance Award – Jeddah Courts, 2021</w:t>
      </w:r>
    </w:p>
    <w:p>
      <w:pPr>
        <w:numPr>
          <w:ilvl w:val="0"/>
          <w:numId w:val="1007"/>
        </w:numPr>
        <w:pStyle w:val="Compact"/>
      </w:pPr>
      <w:r>
        <w:rPr>
          <w:bCs/>
          <w:b/>
        </w:rPr>
        <w:t xml:space="preserve">National Recognition for Promoting Legal Transparency in Saudi Arabia, 2019</w:t>
      </w:r>
    </w:p>
    <w:p>
      <w:pPr>
        <w:numPr>
          <w:ilvl w:val="0"/>
          <w:numId w:val="1007"/>
        </w:numPr>
        <w:pStyle w:val="Compact"/>
      </w:pPr>
      <w:r>
        <w:rPr>
          <w:bCs/>
          <w:b/>
        </w:rPr>
        <w:t xml:space="preserve">Outstanding Contribution to Judicial Reform – Ministry of Justice, 2017</w:t>
      </w:r>
    </w:p>
    <w:bookmarkEnd w:id="29"/>
    <w:bookmarkStart w:id="30" w:name="publications-and-research"/>
    <w:p>
      <w:pPr>
        <w:pStyle w:val="Heading2"/>
      </w:pPr>
      <w:r>
        <w:t xml:space="preserve">Publications and Research</w:t>
      </w:r>
    </w:p>
    <w:p>
      <w:pPr>
        <w:pStyle w:val="FirstParagraph"/>
      </w:pPr>
      <w:r>
        <w:rPr>
          <w:iCs/>
          <w:i/>
        </w:rPr>
        <w:t xml:space="preserve">"Modernizing Sharia-Based Judiciaries: Lessons from Jeddah"</w:t>
      </w:r>
      <w:r>
        <w:t xml:space="preserve">, Journal of Islamic Law, 2018.</w:t>
      </w:r>
    </w:p>
    <w:p>
      <w:pPr>
        <w:pStyle w:val="BodyText"/>
      </w:pPr>
      <w:r>
        <w:rPr>
          <w:iCs/>
          <w:i/>
        </w:rPr>
        <w:t xml:space="preserve">"The Role of Qanun in Balancing Tradition and Progress in Saudi Arabia"</w:t>
      </w:r>
      <w:r>
        <w:t xml:space="preserve">, International Conference on Legal Systems, 2016.</w:t>
      </w:r>
    </w:p>
    <w:bookmarkEnd w:id="30"/>
    <w:bookmarkStart w:id="31" w:name="references"/>
    <w:p>
      <w:pPr>
        <w:pStyle w:val="Heading2"/>
      </w:pPr>
      <w:r>
        <w:t xml:space="preserve">References</w:t>
      </w:r>
    </w:p>
    <w:p>
      <w:pPr>
        <w:pStyle w:val="FirstParagraph"/>
      </w:pPr>
      <w:r>
        <w:t xml:space="preserve">Available upon request. Contact: Dr. Abdullah bin Mohammad Al-Farhan, Jeddah Judicial Office, Saudi Arabia.</w:t>
      </w:r>
    </w:p>
    <w:p>
      <w:pPr>
        <w:pStyle w:val="BodyText"/>
      </w:pPr>
      <w:r>
        <w:rPr>
          <w:bCs/>
          <w:b/>
        </w:rPr>
        <w:t xml:space="preserve">Note:</w:t>
      </w:r>
      <w:r>
        <w:t xml:space="preserve"> </w:t>
      </w:r>
      <w:r>
        <w:t xml:space="preserve">This Curriculum Vitae is tailored for a Judge in Saudi Arabia Jeddah, emphasizing expertise in Sharia law, civil litigation, and judicial reforms aligned with the Kingdom’s legal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Saudi Arabia Jeddah</dc:title>
  <dc:creator/>
  <dc:language>en</dc:language>
  <cp:keywords/>
  <dcterms:created xsi:type="dcterms:W3CDTF">2025-12-01T10:36:07Z</dcterms:created>
  <dcterms:modified xsi:type="dcterms:W3CDTF">2025-12-01T10:36:07Z</dcterms:modified>
</cp:coreProperties>
</file>

<file path=docProps/custom.xml><?xml version="1.0" encoding="utf-8"?>
<Properties xmlns="http://schemas.openxmlformats.org/officeDocument/2006/custom-properties" xmlns:vt="http://schemas.openxmlformats.org/officeDocument/2006/docPropsVTypes"/>
</file>