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+966 55 123 4567 | [email@example.com]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Judge [Full Name] is a highly respected legal professional with over [X] years of experience in the Saudi Arabian judiciary, specializing in Islamic jurisprudence and civil law. As a judge based in Riyadh, the capital of Saudi Arabia, he has demonstrated exceptional dedication to upholding justice within the framework of Qanun (Saudi laws) and Sharia principles. His career reflects a commitment to integrity, fairness, and the advancement of judicial excellence in alignment with Vision 2030’s goals for legal modernization and public trust in the judiciary.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[Year] – Specialized in Islamic Law and Comparative Jurisprudence.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[Year] – Graduated with honors, focusing on Saudi legal systems and administrative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Judicial Training</w:t>
      </w:r>
      <w:r>
        <w:t xml:space="preserve">, Saudi Judicial Council, [Year] – Completed advanced training programs on judicial ethics, case management, and Sharia-based dispute resolution.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riyadh-regional-court-of-appeal"/>
    <w:p>
      <w:pPr>
        <w:pStyle w:val="Heading3"/>
      </w:pPr>
      <w:r>
        <w:t xml:space="preserve">Judge, Riyadh Regional Court of Appeal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civil, commercial, and administrative cases in compliance with Saudi Arabia’s Qanun and Sharia principles.</w:t>
      </w:r>
    </w:p>
    <w:p>
      <w:pPr>
        <w:numPr>
          <w:ilvl w:val="0"/>
          <w:numId w:val="1002"/>
        </w:numPr>
        <w:pStyle w:val="Compact"/>
      </w:pPr>
      <w:r>
        <w:t xml:space="preserve">Provide legal opinions on complex disputes involving property rights, contracts, and family law in Riyadh.</w:t>
      </w:r>
    </w:p>
    <w:p>
      <w:pPr>
        <w:numPr>
          <w:ilvl w:val="0"/>
          <w:numId w:val="1002"/>
        </w:numPr>
        <w:pStyle w:val="Compact"/>
      </w:pPr>
      <w:r>
        <w:t xml:space="preserve">Collaborate with the Ministry of Justice to implement judicial reforms aligned with Vision 2030’s digital transformation initiatives.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professionals, emphasizing ethical standards and procedural efficiency in Saudi Arabia’s judiciary system.</w:t>
      </w:r>
    </w:p>
    <w:bookmarkEnd w:id="23"/>
    <w:bookmarkStart w:id="24" w:name="judge-riyadh-sharia-court"/>
    <w:p>
      <w:pPr>
        <w:pStyle w:val="Heading3"/>
      </w:pPr>
      <w:r>
        <w:t xml:space="preserve">Judge, Riyadh Sharia Court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Delivered rulings on Hudud (penal) cases, including theft, adultery, and drug-related offenses under Islamic law.</w:t>
      </w:r>
    </w:p>
    <w:p>
      <w:pPr>
        <w:numPr>
          <w:ilvl w:val="0"/>
          <w:numId w:val="1003"/>
        </w:numPr>
        <w:pStyle w:val="Compact"/>
      </w:pPr>
      <w:r>
        <w:t xml:space="preserve">Mediated family disputes such as divorce settlements and inheritance claims in accordance with Sharia principles.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court protocols to ensure transparency and public confidence in Riyadh’s judicial processes.</w:t>
      </w:r>
    </w:p>
    <w:bookmarkEnd w:id="24"/>
    <w:bookmarkStart w:id="25" w:name="X4feb1efc951e9ba2643d407a3b5116f5c9dfbd7"/>
    <w:p>
      <w:pPr>
        <w:pStyle w:val="Heading3"/>
      </w:pPr>
      <w:r>
        <w:t xml:space="preserve">Judicial Assistant, Saudi Ministry of Justice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drafting legal opinions and preparing case documents for the Riyadh judiciary.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precedents and Islamic legal texts to inform judicial decisions.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legal experts to integrate global best practices into Saudi Arabia’s judicial framework.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Interpretation:</w:t>
      </w:r>
      <w:r>
        <w:t xml:space="preserve"> </w:t>
      </w:r>
      <w:r>
        <w:t xml:space="preserve">Expertise in applying Islamic jurisprudence and Qanun to ensure fair rulings in Riyadh’s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Leadership:</w:t>
      </w:r>
      <w:r>
        <w:t xml:space="preserve"> </w:t>
      </w:r>
      <w:r>
        <w:t xml:space="preserve">Proven ability to manage complex cases, maintain order, and deliver verdicts with impartiality.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Ethics:</w:t>
      </w:r>
      <w:r>
        <w:t xml:space="preserve"> </w:t>
      </w:r>
      <w:r>
        <w:t xml:space="preserve">Adherence to the highest standards of integrity, confidentiality, and accountability in Saudi Arabia’s judiciary.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Arabic (for legal texts) and English (for international collaboration).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Familiarity with court management systems and e-justice platforms adopted by Riyadh’s judicial authorities.</w:t>
      </w:r>
    </w:p>
    <w:bookmarkEnd w:id="27"/>
    <w:bookmarkStart w:id="28" w:name="certifications-honors"/>
    <w:p>
      <w:pPr>
        <w:pStyle w:val="Heading2"/>
      </w:pPr>
      <w:r>
        <w:t xml:space="preserve">Certifications &amp;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Senior Judicial Certification</w:t>
      </w:r>
      <w:r>
        <w:t xml:space="preserve">, Saudi Judicial Council,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Judge Award</w:t>
      </w:r>
      <w:r>
        <w:t xml:space="preserve">, Riyadh Judiciary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Saudi Legal Society</w:t>
      </w:r>
      <w:r>
        <w:t xml:space="preserve">, [Year – Present]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Vision 2030 Alignment:</w:t>
      </w:r>
      <w:r>
        <w:t xml:space="preserve"> </w:t>
      </w:r>
      <w:r>
        <w:t xml:space="preserve">Actively involved in initiatives to modernize Saudi Arabia’s judiciary, including the integration of AI tools for case management and public access to legal resources in Riyadh.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legal awareness campaigns across Riyadh to educate citizens on their rights under Islamic law and Qanun.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Saudi Judicial Council or the Ministry of Justice in Riyadh.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Saudi Arabia Riyadh</dc:title>
  <dc:creator/>
  <dc:language>en</dc:language>
  <cp:keywords/>
  <dcterms:created xsi:type="dcterms:W3CDTF">2026-07-21T07:17:08Z</dcterms:created>
  <dcterms:modified xsi:type="dcterms:W3CDTF">2026-07-21T07:17:08Z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