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Judge</w:t>
      </w:r>
      <w:r>
        <w:t xml:space="preserve"> </w:t>
      </w:r>
      <w:r>
        <w:t xml:space="preserve">in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Riyadh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judge-full-name"/>
    <w:p>
      <w:pPr>
        <w:pStyle w:val="Heading2"/>
      </w:pPr>
      <w:r>
        <w:t xml:space="preserve">Judge [Full Name]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Riyadh, Saudi Arabia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+966 55 123 4567 | [email@example.com]</w:t>
      </w:r>
      <w:r>
        <w:br/>
      </w:r>
      <w:r>
        <w:rPr>
          <w:bCs/>
          <w:b/>
        </w:rPr>
        <w:t xml:space="preserve">Languages:</w:t>
      </w:r>
      <w:r>
        <w:t xml:space="preserve"> </w:t>
      </w:r>
      <w:r>
        <w:t xml:space="preserve">Arabic (native), English (proficient)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rPr>
          <w:iCs/>
          <w:i/>
        </w:rPr>
        <w:t xml:space="preserve">Judge [Full Name] is a highly respected legal professional with over [X] years of experience in the Saudi Arabian judiciary, specializing in Islamic jurisprudence and civil law. As a judge based in Riyadh, the capital of Saudi Arabia, he has demonstrated exceptional dedication to upholding justice within the framework of Qanun (Saudi laws) and Sharia principles. His career reflects a commitment to integrity, fairness, and the advancement of judicial excellence in alignment with Vision 2030’s goals for legal modernization and public trust in the judiciary.</w:t>
      </w:r>
    </w:p>
    <w:bookmarkEnd w:id="21"/>
    <w:bookmarkStart w:id="22" w:name="educational-background"/>
    <w:p>
      <w:pPr>
        <w:pStyle w:val="Heading2"/>
      </w:pPr>
      <w:r>
        <w:t xml:space="preserve">Educational Background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Laws (LL.M.)</w:t>
      </w:r>
      <w:r>
        <w:t xml:space="preserve">, [University Name], [Year] – Specialized in Islamic Law and Comparative Jurisprudence.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Laws (LL.B.)</w:t>
      </w:r>
      <w:r>
        <w:t xml:space="preserve">, [University Name], [Year] – Graduated with honors, focusing on Saudi legal systems and administrative law.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Judicial Training</w:t>
      </w:r>
      <w:r>
        <w:t xml:space="preserve">, Saudi Judicial Council, [Year] – Completed advanced training programs on judicial ethics, case management, and Sharia-based dispute resolution.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judge-riyadh-regional-court-of-appeal"/>
    <w:p>
      <w:pPr>
        <w:pStyle w:val="Heading3"/>
      </w:pPr>
      <w:r>
        <w:t xml:space="preserve">Judge, Riyadh Regional Court of Appeal</w:t>
      </w:r>
    </w:p>
    <w:p>
      <w:pPr>
        <w:pStyle w:val="FirstParagraph"/>
      </w:pPr>
      <w:r>
        <w:rPr>
          <w:iCs/>
          <w:i/>
        </w:rPr>
        <w:t xml:space="preserve">[Year] – Present</w:t>
      </w:r>
    </w:p>
    <w:p>
      <w:pPr>
        <w:numPr>
          <w:ilvl w:val="0"/>
          <w:numId w:val="1002"/>
        </w:numPr>
        <w:pStyle w:val="Compact"/>
      </w:pPr>
      <w:r>
        <w:t xml:space="preserve">Preside over civil, commercial, and administrative cases in compliance with Saudi Arabia’s Qanun and Sharia principles.</w:t>
      </w:r>
    </w:p>
    <w:p>
      <w:pPr>
        <w:numPr>
          <w:ilvl w:val="0"/>
          <w:numId w:val="1002"/>
        </w:numPr>
        <w:pStyle w:val="Compact"/>
      </w:pPr>
      <w:r>
        <w:t xml:space="preserve">Provide legal opinions on complex disputes involving property rights, contracts, and family law in Riyadh.</w:t>
      </w:r>
    </w:p>
    <w:p>
      <w:pPr>
        <w:numPr>
          <w:ilvl w:val="0"/>
          <w:numId w:val="1002"/>
        </w:numPr>
        <w:pStyle w:val="Compact"/>
      </w:pPr>
      <w:r>
        <w:t xml:space="preserve">Collaborate with the Ministry of Justice to implement judicial reforms aligned with Vision 2030’s digital transformation initiatives.</w:t>
      </w:r>
    </w:p>
    <w:p>
      <w:pPr>
        <w:numPr>
          <w:ilvl w:val="0"/>
          <w:numId w:val="1002"/>
        </w:numPr>
        <w:pStyle w:val="Compact"/>
      </w:pPr>
      <w:r>
        <w:t xml:space="preserve">Mentor junior judges and legal professionals, emphasizing ethical standards and procedural efficiency in Saudi Arabia’s judiciary system.</w:t>
      </w:r>
    </w:p>
    <w:bookmarkEnd w:id="23"/>
    <w:bookmarkStart w:id="24" w:name="judge-riyadh-sharia-court"/>
    <w:p>
      <w:pPr>
        <w:pStyle w:val="Heading3"/>
      </w:pPr>
      <w:r>
        <w:t xml:space="preserve">Judge, Riyadh Sharia Court</w:t>
      </w:r>
    </w:p>
    <w:p>
      <w:pPr>
        <w:pStyle w:val="FirstParagraph"/>
      </w:pPr>
      <w:r>
        <w:rPr>
          <w:iCs/>
          <w:i/>
        </w:rPr>
        <w:t xml:space="preserve">[Year] – [Year]</w:t>
      </w:r>
    </w:p>
    <w:p>
      <w:pPr>
        <w:numPr>
          <w:ilvl w:val="0"/>
          <w:numId w:val="1003"/>
        </w:numPr>
        <w:pStyle w:val="Compact"/>
      </w:pPr>
      <w:r>
        <w:t xml:space="preserve">Delivered rulings on Hudud (penal) cases, including theft, adultery, and drug-related offenses under Islamic law.</w:t>
      </w:r>
    </w:p>
    <w:p>
      <w:pPr>
        <w:numPr>
          <w:ilvl w:val="0"/>
          <w:numId w:val="1003"/>
        </w:numPr>
        <w:pStyle w:val="Compact"/>
      </w:pPr>
      <w:r>
        <w:t xml:space="preserve">Mediated family disputes such as divorce settlements and inheritance claims in accordance with Sharia principles.</w:t>
      </w:r>
    </w:p>
    <w:p>
      <w:pPr>
        <w:numPr>
          <w:ilvl w:val="0"/>
          <w:numId w:val="1003"/>
        </w:numPr>
        <w:pStyle w:val="Compact"/>
      </w:pPr>
      <w:r>
        <w:t xml:space="preserve">Participated in the development of court protocols to ensure transparency and public confidence in Riyadh’s judicial processes.</w:t>
      </w:r>
    </w:p>
    <w:bookmarkEnd w:id="24"/>
    <w:bookmarkStart w:id="25" w:name="X4feb1efc951e9ba2643d407a3b5116f5c9dfbd7"/>
    <w:p>
      <w:pPr>
        <w:pStyle w:val="Heading3"/>
      </w:pPr>
      <w:r>
        <w:t xml:space="preserve">Judicial Assistant, Saudi Ministry of Justice</w:t>
      </w:r>
    </w:p>
    <w:p>
      <w:pPr>
        <w:pStyle w:val="FirstParagraph"/>
      </w:pPr>
      <w:r>
        <w:rPr>
          <w:iCs/>
          <w:i/>
        </w:rPr>
        <w:t xml:space="preserve">[Year] – [Year]</w:t>
      </w:r>
    </w:p>
    <w:p>
      <w:pPr>
        <w:numPr>
          <w:ilvl w:val="0"/>
          <w:numId w:val="1004"/>
        </w:numPr>
        <w:pStyle w:val="Compact"/>
      </w:pPr>
      <w:r>
        <w:t xml:space="preserve">Supported senior judges in drafting legal opinions and preparing case documents for the Riyadh judiciary.</w:t>
      </w:r>
    </w:p>
    <w:p>
      <w:pPr>
        <w:numPr>
          <w:ilvl w:val="0"/>
          <w:numId w:val="1004"/>
        </w:numPr>
        <w:pStyle w:val="Compact"/>
      </w:pPr>
      <w:r>
        <w:t xml:space="preserve">Conducted research on historical precedents and Islamic legal texts to inform judicial decisions.</w:t>
      </w:r>
    </w:p>
    <w:p>
      <w:pPr>
        <w:numPr>
          <w:ilvl w:val="0"/>
          <w:numId w:val="1004"/>
        </w:numPr>
        <w:pStyle w:val="Compact"/>
      </w:pPr>
      <w:r>
        <w:t xml:space="preserve">Collaborated with international legal experts to integrate global best practices into Saudi Arabia’s judicial framework.</w:t>
      </w:r>
    </w:p>
    <w:bookmarkEnd w:id="25"/>
    <w:bookmarkEnd w:id="26"/>
    <w:bookmarkStart w:id="27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Law Interpretation:</w:t>
      </w:r>
      <w:r>
        <w:t xml:space="preserve"> </w:t>
      </w:r>
      <w:r>
        <w:t xml:space="preserve">Expertise in applying Islamic jurisprudence and Qanun to ensure fair rulings in Riyadh’s courts.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Courtroom Leadership:</w:t>
      </w:r>
      <w:r>
        <w:t xml:space="preserve"> </w:t>
      </w:r>
      <w:r>
        <w:t xml:space="preserve">Proven ability to manage complex cases, maintain order, and deliver verdicts with impartiality.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Judicial Ethics:</w:t>
      </w:r>
      <w:r>
        <w:t xml:space="preserve"> </w:t>
      </w:r>
      <w:r>
        <w:t xml:space="preserve">Adherence to the highest standards of integrity, confidentiality, and accountability in Saudi Arabia’s judiciary.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Linguistic Proficiency:</w:t>
      </w:r>
      <w:r>
        <w:t xml:space="preserve"> </w:t>
      </w:r>
      <w:r>
        <w:t xml:space="preserve">Fluency in Arabic (for legal texts) and English (for international collaboration).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Digital Literacy:</w:t>
      </w:r>
      <w:r>
        <w:t xml:space="preserve"> </w:t>
      </w:r>
      <w:r>
        <w:t xml:space="preserve">Familiarity with court management systems and e-justice platforms adopted by Riyadh’s judicial authorities.</w:t>
      </w:r>
    </w:p>
    <w:bookmarkEnd w:id="27"/>
    <w:bookmarkStart w:id="28" w:name="certifications-honors"/>
    <w:p>
      <w:pPr>
        <w:pStyle w:val="Heading2"/>
      </w:pPr>
      <w:r>
        <w:t xml:space="preserve">Certifications &amp; Honors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Senior Judicial Certification</w:t>
      </w:r>
      <w:r>
        <w:t xml:space="preserve">, Saudi Judicial Council,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Outstanding Judge Award</w:t>
      </w:r>
      <w:r>
        <w:t xml:space="preserve">, Riyadh Judiciary Association,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Member of the Saudi Legal Society</w:t>
      </w:r>
      <w:r>
        <w:t xml:space="preserve">, [Year – Present]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Arabic (native)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Vision 2030 Alignment:</w:t>
      </w:r>
      <w:r>
        <w:t xml:space="preserve"> </w:t>
      </w:r>
      <w:r>
        <w:t xml:space="preserve">Actively involved in initiatives to modernize Saudi Arabia’s judiciary, including the integration of AI tools for case management and public access to legal resources in Riyadh.</w:t>
      </w:r>
    </w:p>
    <w:p>
      <w:pPr>
        <w:pStyle w:val="BodyTex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Regularly participates in legal awareness campaigns across Riyadh to educate citizens on their rights under Islamic law and Qanun.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 from the Saudi Judicial Council or the Ministry of Justice in Riyadh.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Judge in Saudi Arabia Riyadh</dc:title>
  <dc:creator/>
  <dc:language>en</dc:language>
  <cp:keywords/>
  <dcterms:created xsi:type="dcterms:W3CDTF">2026-09-27T00:18:49Z</dcterms:created>
  <dcterms:modified xsi:type="dcterms:W3CDTF">2026-09-27T00:18:49Z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