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Turkey</w:t>
      </w:r>
      <w:r>
        <w:t xml:space="preserve"> </w:t>
      </w:r>
      <w:r>
        <w:t xml:space="preserve">Ankara</w:t>
      </w:r>
    </w:p>
    <w:bookmarkStart w:id="29" w:name="curriculum-vitae"/>
    <w:p>
      <w:pPr>
        <w:pStyle w:val="Heading1"/>
      </w:pPr>
      <w:r>
        <w:t xml:space="preserve">Curriculum Vitae</w:t>
      </w:r>
    </w:p>
    <w:p>
      <w:pPr>
        <w:pStyle w:val="FirstParagraph"/>
      </w:pPr>
      <w:r>
        <w:rPr>
          <w:bCs/>
          <w:b/>
        </w:rPr>
        <w:t xml:space="preserve">Name:</w:t>
      </w:r>
      <w:r>
        <w:t xml:space="preserve"> </w:t>
      </w:r>
      <w:r>
        <w:t xml:space="preserve">Ahmet Metin Yılmaz</w:t>
      </w:r>
      <w:r>
        <w:br/>
      </w:r>
      <w:r>
        <w:rPr>
          <w:bCs/>
          <w:b/>
        </w:rPr>
        <w:t xml:space="preserve">Email:</w:t>
      </w:r>
      <w:r>
        <w:t xml:space="preserve"> </w:t>
      </w:r>
      <w:r>
        <w:t xml:space="preserve">ahmet.yilmaz@anjurist.gov.tr</w:t>
      </w:r>
      <w:r>
        <w:br/>
      </w:r>
      <w:r>
        <w:rPr>
          <w:bCs/>
          <w:b/>
        </w:rPr>
        <w:t xml:space="preserve">Phone:</w:t>
      </w:r>
      <w:r>
        <w:t xml:space="preserve"> </w:t>
      </w:r>
      <w:r>
        <w:t xml:space="preserve">+90 312 555 6789</w:t>
      </w:r>
      <w:r>
        <w:br/>
      </w:r>
      <w:r>
        <w:rPr>
          <w:bCs/>
          <w:b/>
        </w:rPr>
        <w:t xml:space="preserve">Address:</w:t>
      </w:r>
      <w:r>
        <w:t xml:space="preserve"> </w:t>
      </w:r>
      <w:r>
        <w:t xml:space="preserve">Ankara, Turkey</w:t>
      </w:r>
    </w:p>
    <w:bookmarkStart w:id="20" w:name="professional-summary"/>
    <w:p>
      <w:pPr>
        <w:pStyle w:val="Heading2"/>
      </w:pPr>
      <w:r>
        <w:t xml:space="preserve">Professional Summary</w:t>
      </w:r>
    </w:p>
    <w:p>
      <w:pPr>
        <w:pStyle w:val="FirstParagraph"/>
      </w:pPr>
      <w:r>
        <w:t xml:space="preserve">A seasoned Judge with over two decades of experience in the Turkish judiciary system, specializing in criminal law and constitutional rights. Dedicated to upholding justice, fairness, and the rule of law within the jurisdiction of Turkey Ankara. Proven expertise in resolving complex legal cases, interpreting national legislation, and contributing to judicial reforms that align with Turkey's evolving legal framework. Committed to fostering public trust in the judiciary through transparency, ethical conduct,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Bilkent University, Ankara, Turkey (Graduated 1998)</w:t>
      </w:r>
    </w:p>
    <w:p>
      <w:pPr>
        <w:numPr>
          <w:ilvl w:val="0"/>
          <w:numId w:val="1001"/>
        </w:numPr>
        <w:pStyle w:val="Compact"/>
      </w:pPr>
      <w:r>
        <w:rPr>
          <w:bCs/>
          <w:b/>
        </w:rPr>
        <w:t xml:space="preserve">Masters in Constitutional Law</w:t>
      </w:r>
      <w:r>
        <w:t xml:space="preserve">, Istanbul University, Turkey (Graduated 2002)</w:t>
      </w:r>
    </w:p>
    <w:p>
      <w:pPr>
        <w:numPr>
          <w:ilvl w:val="0"/>
          <w:numId w:val="1001"/>
        </w:numPr>
        <w:pStyle w:val="Compact"/>
      </w:pPr>
      <w:r>
        <w:rPr>
          <w:bCs/>
          <w:b/>
        </w:rPr>
        <w:t xml:space="preserve">Advanced Judicial Training Program</w:t>
      </w:r>
      <w:r>
        <w:t xml:space="preserve">, Turkish Ministry of Justice, Ankara (Completed 2005)</w:t>
      </w:r>
    </w:p>
    <w:bookmarkEnd w:id="21"/>
    <w:bookmarkStart w:id="22" w:name="legal-career"/>
    <w:p>
      <w:pPr>
        <w:pStyle w:val="Heading2"/>
      </w:pPr>
      <w:r>
        <w:t xml:space="preserve">Legal Career</w:t>
      </w:r>
    </w:p>
    <w:p>
      <w:pPr>
        <w:pStyle w:val="FirstParagraph"/>
      </w:pPr>
      <w:r>
        <w:rPr>
          <w:bCs/>
          <w:b/>
        </w:rPr>
        <w:t xml:space="preserve">Early Professional Experience:</w:t>
      </w:r>
    </w:p>
    <w:p>
      <w:pPr>
        <w:numPr>
          <w:ilvl w:val="0"/>
          <w:numId w:val="1002"/>
        </w:numPr>
        <w:pStyle w:val="Compact"/>
      </w:pPr>
      <w:r>
        <w:t xml:space="preserve">Prosecutor at the Ankara Chief Public Prosecutor's Office (1998–2005): Handled high-profile criminal cases, including organized crime and corruption investigations. Collaborated with law enforcement agencies to ensure compliance with Turkish criminal procedures.</w:t>
      </w:r>
    </w:p>
    <w:p>
      <w:pPr>
        <w:numPr>
          <w:ilvl w:val="0"/>
          <w:numId w:val="1002"/>
        </w:numPr>
        <w:pStyle w:val="Compact"/>
      </w:pPr>
      <w:r>
        <w:t xml:space="preserve">Legal Advisor at the Ankara Bar Association (2005–2010): Provided legal guidance to clients on civil and administrative matters, focusing on dispute resolution and constitutional rights advocacy.</w:t>
      </w:r>
    </w:p>
    <w:p>
      <w:pPr>
        <w:pStyle w:val="FirstParagraph"/>
      </w:pPr>
      <w:r>
        <w:rPr>
          <w:bCs/>
          <w:b/>
        </w:rPr>
        <w:t xml:space="preserve">Judicial Career:</w:t>
      </w:r>
    </w:p>
    <w:p>
      <w:pPr>
        <w:numPr>
          <w:ilvl w:val="0"/>
          <w:numId w:val="1003"/>
        </w:numPr>
        <w:pStyle w:val="Compact"/>
      </w:pPr>
      <w:r>
        <w:t xml:space="preserve">Judge at the Ankara Criminal Court of First Instance (2010–2015): Presided over over 500 criminal trials, ensuring adherence to procedural fairness and the principles of due process. Recognized for efficient case management and impartial decision-making.</w:t>
      </w:r>
    </w:p>
    <w:p>
      <w:pPr>
        <w:numPr>
          <w:ilvl w:val="0"/>
          <w:numId w:val="1003"/>
        </w:numPr>
        <w:pStyle w:val="Compact"/>
      </w:pPr>
      <w:r>
        <w:t xml:space="preserve">Judge at the Ankara Appellate Court (2015–Present): Specialized in reviewing appeals on criminal and civil cases. Played a pivotal role in interpreting judicial precedents, contributing to the standardization of legal practices across Turkey Ankara.</w:t>
      </w:r>
    </w:p>
    <w:bookmarkEnd w:id="22"/>
    <w:bookmarkStart w:id="23" w:name="judicial-experience-in-turkey-ankara"/>
    <w:p>
      <w:pPr>
        <w:pStyle w:val="Heading2"/>
      </w:pPr>
      <w:r>
        <w:t xml:space="preserve">Judicial Experience in Turkey Ankara</w:t>
      </w:r>
    </w:p>
    <w:p>
      <w:pPr>
        <w:pStyle w:val="FirstParagraph"/>
      </w:pPr>
      <w:r>
        <w:t xml:space="preserve">As a Judge in Turkey Ankara, Ahmet Metin Yılmaz has been instrumental in shaping the region's judiciary. His tenure includes:</w:t>
      </w:r>
    </w:p>
    <w:p>
      <w:pPr>
        <w:numPr>
          <w:ilvl w:val="0"/>
          <w:numId w:val="1004"/>
        </w:numPr>
        <w:pStyle w:val="Compact"/>
      </w:pPr>
      <w:r>
        <w:rPr>
          <w:bCs/>
          <w:b/>
        </w:rPr>
        <w:t xml:space="preserve">Criminal Jurisdiction:</w:t>
      </w:r>
      <w:r>
        <w:t xml:space="preserve"> </w:t>
      </w:r>
      <w:r>
        <w:t xml:space="preserve">Oversaw cases involving drug trafficking, cybercrime, and economic offenses. Advocated for victim rights and restorative justice initiatives.</w:t>
      </w:r>
    </w:p>
    <w:p>
      <w:pPr>
        <w:numPr>
          <w:ilvl w:val="0"/>
          <w:numId w:val="1004"/>
        </w:numPr>
        <w:pStyle w:val="Compact"/>
      </w:pPr>
      <w:r>
        <w:rPr>
          <w:bCs/>
          <w:b/>
        </w:rPr>
        <w:t xml:space="preserve">Constitutional Law Cases:</w:t>
      </w:r>
      <w:r>
        <w:t xml:space="preserve"> </w:t>
      </w:r>
      <w:r>
        <w:t xml:space="preserve">Addressed disputes concerning the interpretation of the Turkish Constitution, including issues related to freedom of expression and judicial independence.</w:t>
      </w:r>
    </w:p>
    <w:p>
      <w:pPr>
        <w:numPr>
          <w:ilvl w:val="0"/>
          <w:numId w:val="1004"/>
        </w:numPr>
        <w:pStyle w:val="Compact"/>
      </w:pPr>
      <w:r>
        <w:rPr>
          <w:bCs/>
          <w:b/>
        </w:rPr>
        <w:t xml:space="preserve">Judicial Reforms:</w:t>
      </w:r>
      <w:r>
        <w:t xml:space="preserve"> </w:t>
      </w:r>
      <w:r>
        <w:t xml:space="preserve">Participated in drafting guidelines for digital evidence handling, aligning with modern legal challenges in Turkey Ankara's rapidly evolving tech landscape.</w:t>
      </w:r>
    </w:p>
    <w:bookmarkEnd w:id="23"/>
    <w:bookmarkStart w:id="24" w:name="professional-affiliations"/>
    <w:p>
      <w:pPr>
        <w:pStyle w:val="Heading2"/>
      </w:pPr>
      <w:r>
        <w:t xml:space="preserve">Professional Affiliations</w:t>
      </w:r>
    </w:p>
    <w:p>
      <w:pPr>
        <w:numPr>
          <w:ilvl w:val="0"/>
          <w:numId w:val="1005"/>
        </w:numPr>
        <w:pStyle w:val="Compact"/>
      </w:pPr>
      <w:r>
        <w:t xml:space="preserve">Member of the Turkish Bar Association (TBA)</w:t>
      </w:r>
    </w:p>
    <w:p>
      <w:pPr>
        <w:numPr>
          <w:ilvl w:val="0"/>
          <w:numId w:val="1005"/>
        </w:numPr>
        <w:pStyle w:val="Compact"/>
      </w:pPr>
      <w:r>
        <w:t xml:space="preserve">Member of the Ankara Judicial Council</w:t>
      </w:r>
    </w:p>
    <w:p>
      <w:pPr>
        <w:numPr>
          <w:ilvl w:val="0"/>
          <w:numId w:val="1005"/>
        </w:numPr>
        <w:pStyle w:val="Compact"/>
      </w:pPr>
      <w:r>
        <w:t xml:space="preserve">Contributing Editor, "Turkish Law Review Journal"</w:t>
      </w:r>
    </w:p>
    <w:p>
      <w:pPr>
        <w:numPr>
          <w:ilvl w:val="0"/>
          <w:numId w:val="1005"/>
        </w:numPr>
        <w:pStyle w:val="Compact"/>
      </w:pPr>
      <w:r>
        <w:t xml:space="preserve">Past President, Ankara Legal Ethics Committee</w:t>
      </w:r>
    </w:p>
    <w:bookmarkEnd w:id="24"/>
    <w:bookmarkStart w:id="25" w:name="publications-and-research"/>
    <w:p>
      <w:pPr>
        <w:pStyle w:val="Heading2"/>
      </w:pPr>
      <w:r>
        <w:t xml:space="preserve">Publications and Research</w:t>
      </w:r>
    </w:p>
    <w:p>
      <w:pPr>
        <w:numPr>
          <w:ilvl w:val="0"/>
          <w:numId w:val="1006"/>
        </w:numPr>
        <w:pStyle w:val="Compact"/>
      </w:pPr>
      <w:r>
        <w:t xml:space="preserve">"The Role of Judges in Constitutional Democracy: A Case Study of Turkey Ankara" (2018), Published in the Turkish Law Review Journal.</w:t>
      </w:r>
    </w:p>
    <w:p>
      <w:pPr>
        <w:numPr>
          <w:ilvl w:val="0"/>
          <w:numId w:val="1006"/>
        </w:numPr>
        <w:pStyle w:val="Compact"/>
      </w:pPr>
      <w:r>
        <w:t xml:space="preserve">Co-authored a research paper on "Cybercrime Legislation in the Context of Turkish Judiciary," presented at the 2019 International Judicial Conference in Istanbul.</w:t>
      </w:r>
    </w:p>
    <w:p>
      <w:pPr>
        <w:numPr>
          <w:ilvl w:val="0"/>
          <w:numId w:val="1006"/>
        </w:numPr>
        <w:pStyle w:val="Compact"/>
      </w:pPr>
      <w:r>
        <w:t xml:space="preserve">Contributor to the "Handbook of Criminal Justice in Turkey" (2020), focusing on procedural reforms and judicial accountability.</w:t>
      </w:r>
    </w:p>
    <w:bookmarkEnd w:id="25"/>
    <w:bookmarkStart w:id="26" w:name="language-skills"/>
    <w:p>
      <w:pPr>
        <w:pStyle w:val="Heading2"/>
      </w:pPr>
      <w:r>
        <w:t xml:space="preserve">Language Skills</w:t>
      </w:r>
    </w:p>
    <w:p>
      <w:pPr>
        <w:numPr>
          <w:ilvl w:val="0"/>
          <w:numId w:val="1007"/>
        </w:numPr>
        <w:pStyle w:val="Compact"/>
      </w:pPr>
      <w:r>
        <w:t xml:space="preserve">Turkish (Native)</w:t>
      </w:r>
    </w:p>
    <w:p>
      <w:pPr>
        <w:numPr>
          <w:ilvl w:val="0"/>
          <w:numId w:val="1007"/>
        </w:numPr>
        <w:pStyle w:val="Compact"/>
      </w:pPr>
      <w:r>
        <w:t xml:space="preserve">English (Fluent, with legal terminology proficiency)</w:t>
      </w:r>
    </w:p>
    <w:p>
      <w:pPr>
        <w:numPr>
          <w:ilvl w:val="0"/>
          <w:numId w:val="1007"/>
        </w:numPr>
        <w:pStyle w:val="Compact"/>
      </w:pPr>
      <w:r>
        <w:t xml:space="preserve">French (Basic reading/writing)</w:t>
      </w:r>
    </w:p>
    <w:bookmarkEnd w:id="26"/>
    <w:bookmarkStart w:id="27" w:name="honors-and-awards"/>
    <w:p>
      <w:pPr>
        <w:pStyle w:val="Heading2"/>
      </w:pPr>
      <w:r>
        <w:t xml:space="preserve">Honors and Awards</w:t>
      </w:r>
    </w:p>
    <w:p>
      <w:pPr>
        <w:numPr>
          <w:ilvl w:val="0"/>
          <w:numId w:val="1008"/>
        </w:numPr>
        <w:pStyle w:val="Compact"/>
      </w:pPr>
      <w:r>
        <w:t xml:space="preserve">Outstanding Judge Award, Ankara Judicial District (2017)</w:t>
      </w:r>
    </w:p>
    <w:p>
      <w:pPr>
        <w:numPr>
          <w:ilvl w:val="0"/>
          <w:numId w:val="1008"/>
        </w:numPr>
        <w:pStyle w:val="Compact"/>
      </w:pPr>
      <w:r>
        <w:t xml:space="preserve">Recognition for Excellence in Criminal Justice, Turkish Ministry of Justice (2019)</w:t>
      </w:r>
    </w:p>
    <w:p>
      <w:pPr>
        <w:numPr>
          <w:ilvl w:val="0"/>
          <w:numId w:val="1008"/>
        </w:numPr>
        <w:pStyle w:val="Compact"/>
      </w:pPr>
      <w:r>
        <w:t xml:space="preserve">"Guardian of the Constitution" Medal, Ankara Constitutional Court (2021)</w:t>
      </w:r>
    </w:p>
    <w:bookmarkEnd w:id="27"/>
    <w:bookmarkStart w:id="28" w:name="references"/>
    <w:p>
      <w:pPr>
        <w:pStyle w:val="Heading2"/>
      </w:pPr>
      <w:r>
        <w:t xml:space="preserve">References</w:t>
      </w:r>
    </w:p>
    <w:p>
      <w:pPr>
        <w:pStyle w:val="FirstParagraph"/>
      </w:pPr>
      <w:r>
        <w:t xml:space="preserve">Available upon request. References include senior judges from the Ankara Judicial Council and legal scholars from Bilkent University.</w:t>
      </w:r>
    </w:p>
    <w:p>
      <w:pPr>
        <w:pStyle w:val="BodyText"/>
      </w:pPr>
      <w:r>
        <w:rPr>
          <w:bCs/>
          <w:b/>
        </w:rPr>
        <w:t xml:space="preserve">Note:</w:t>
      </w:r>
      <w:r>
        <w:t xml:space="preserve"> </w:t>
      </w:r>
      <w:r>
        <w:t xml:space="preserve">This Curriculum Vitae is tailored for a Judge in Turkey Ankara, emphasizing their contributions to the Turkish judicial system, commitment to justice, and alignment with national legal standards. The content reflects the unique responsibilities of a judge serving in one of Turkey's most significant legal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Turkey Ankara</dc:title>
  <dc:creator/>
  <dc:language>en</dc:language>
  <cp:keywords/>
  <dcterms:created xsi:type="dcterms:W3CDTF">2025-11-27T07:18:23Z</dcterms:created>
  <dcterms:modified xsi:type="dcterms:W3CDTF">2025-11-27T07:18:23Z</dcterms:modified>
</cp:coreProperties>
</file>

<file path=docProps/custom.xml><?xml version="1.0" encoding="utf-8"?>
<Properties xmlns="http://schemas.openxmlformats.org/officeDocument/2006/custom-properties" xmlns:vt="http://schemas.openxmlformats.org/officeDocument/2006/docPropsVTypes"/>
</file>