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Germany Munich, specializing in corporate law, civil litigation, and international legal frameworks. With a strong academic background from leading German institutions and extensive practice in the dynamic legal environment of Munich, I provide expert counsel to clients across various industries. My expertise is rooted in the German legal system, with a focus on compliance, dispute resolution, and strategic legal advisory services tailored to the unique needs of businesses and individuals in Germany Munich.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Examination in Law (Staatsexamen)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Business Law</w:t>
      </w:r>
      <w:r>
        <w:t xml:space="preserve">, [University Name], Munich, Germany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rPr>
          <w:bCs/>
          <w:b/>
        </w:rPr>
        <w:t xml:space="preserve">Senior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multinational corporations on compliance with German and EU regulations, including data protection (DSGVO) and labor law.</w:t>
      </w:r>
    </w:p>
    <w:p>
      <w:pPr>
        <w:numPr>
          <w:ilvl w:val="0"/>
          <w:numId w:val="1002"/>
        </w:numPr>
        <w:pStyle w:val="Compact"/>
      </w:pPr>
      <w:r>
        <w:t xml:space="preserve">Represented clients in corporate litigation cases at the Munich Higher Regional Court (OLG München), achieving favorable outcomes in 85% of cases.</w:t>
      </w:r>
    </w:p>
    <w:p>
      <w:pPr>
        <w:numPr>
          <w:ilvl w:val="0"/>
          <w:numId w:val="1002"/>
        </w:numPr>
        <w:pStyle w:val="Compact"/>
      </w:pPr>
      <w:r>
        <w:t xml:space="preserve">Advised on mergers and acquisitions, ensuring alignment with German corporate governance standards and international trade laws.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across Germany Munich to develop innovative solutions for complex business disputes.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50+ clients, specializing in real estate law and family law matters within Germany Munich.</w:t>
      </w:r>
    </w:p>
    <w:p>
      <w:pPr>
        <w:numPr>
          <w:ilvl w:val="0"/>
          <w:numId w:val="1003"/>
        </w:numPr>
        <w:pStyle w:val="Compact"/>
      </w:pPr>
      <w:r>
        <w:t xml:space="preserve">Prepared legal documents, including contracts, settlement agreements, and court filings, ensuring strict adherence to German procedural laws.</w:t>
      </w:r>
    </w:p>
    <w:p>
      <w:pPr>
        <w:numPr>
          <w:ilvl w:val="0"/>
          <w:numId w:val="1003"/>
        </w:numPr>
        <w:pStyle w:val="Compact"/>
      </w:pPr>
      <w:r>
        <w:t xml:space="preserve">Conducted due diligence for property transactions in the Munich metropolitan area, identifying potential risks and liabilities.</w:t>
      </w:r>
    </w:p>
    <w:bookmarkEnd w:id="23"/>
    <w:bookmarkEnd w:id="24"/>
    <w:bookmarkStart w:id="25" w:name="legal-specializations"/>
    <w:p>
      <w:pPr>
        <w:pStyle w:val="Heading2"/>
      </w:pPr>
      <w:r>
        <w:t xml:space="preserve">Legal Specializations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company formation, shareholder agreements, and compliance with German Commercial Code (HGB).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civil disputes, including contract breaches and tort claims, within the jurisdiction of Germany Munich.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Union Law:</w:t>
      </w:r>
      <w:r>
        <w:t xml:space="preserve"> </w:t>
      </w:r>
      <w:r>
        <w:t xml:space="preserve">Expertise in interpreting EU directives and their application to German legal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Protection (DSGVO):</w:t>
      </w:r>
      <w:r>
        <w:t xml:space="preserve"> </w:t>
      </w:r>
      <w:r>
        <w:t xml:space="preserve">Supporting businesses in GDPR compliance, including data breach response strategies and privacy policy development.</w:t>
      </w:r>
    </w:p>
    <w:bookmarkEnd w:id="25"/>
    <w:bookmarkStart w:id="26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Rechtsanwalt (German Lawyer License)</w:t>
      </w:r>
      <w:r>
        <w:t xml:space="preserve">, Munich Bar Association (Münchner Rechtsanwaltskammer)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Protection Officer</w:t>
      </w:r>
      <w:r>
        <w:t xml:space="preserve">, [Certification Body], Germany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German Lawyers' Association (Deutsche Anwaltsvereinigung)</w:t>
      </w:r>
    </w:p>
    <w:bookmarkEnd w:id="26"/>
    <w:bookmarkStart w:id="27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 with advanced legal terminology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drafting international legal documents and client communications.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French/Italian (optional):</w:t>
      </w:r>
      <w:r>
        <w:t xml:space="preserve"> </w:t>
      </w:r>
      <w:r>
        <w:t xml:space="preserve">Proficient in additional languages to support multilingual clients in Germany Munich.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Munich Legal Forum, contributing to discussions on modernizing legal practices in Germany. Regularly participates in pro bono work for local NGOs addressing social justice issues.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legal research tools (Westlaw, LexisNexis), Microsoft Office Suite, and case management software tailored for German law firms.</w:t>
      </w:r>
    </w:p>
    <w:p>
      <w:pPr>
        <w:pStyle w:val="BodyText"/>
      </w:pPr>
      <w:r>
        <w:rPr>
          <w:bCs/>
          <w:b/>
        </w:rPr>
        <w:t xml:space="preserve">Court Experience:</w:t>
      </w:r>
      <w:r>
        <w:t xml:space="preserve"> </w:t>
      </w:r>
      <w:r>
        <w:t xml:space="preserve">Extensive experience appearing before the Munich Regional Court (AG München) and Higher Regional Court (OLG München), with a strong track record of client satisfaction.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clients and colleagues in Germany Munich.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Germany Munich</dc:title>
  <dc:creator/>
  <dc:language>en</dc:language>
  <cp:keywords/>
  <dcterms:created xsi:type="dcterms:W3CDTF">2026-07-21T11:39:42Z</dcterms:created>
  <dcterms:modified xsi:type="dcterms:W3CDTF">2026-07-21T11:39:42Z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