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Iran</w:t>
      </w:r>
      <w:r>
        <w:t xml:space="preserve"> </w:t>
      </w:r>
      <w:r>
        <w:t xml:space="preserve">Tehran</w:t>
      </w:r>
    </w:p>
    <w:bookmarkStart w:id="29" w:name="curriculum-vitae"/>
    <w:p>
      <w:pPr>
        <w:pStyle w:val="Heading1"/>
      </w:pPr>
      <w:r>
        <w:t xml:space="preserve">Curriculum Vitae</w:t>
      </w:r>
    </w:p>
    <w:bookmarkStart w:id="28" w:name="lawyer-in-iran-tehran"/>
    <w:p>
      <w:pPr>
        <w:pStyle w:val="Heading2"/>
      </w:pPr>
      <w:r>
        <w:t xml:space="preserve">Lawyer in Iran Tehran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p>
    <w:p>
      <w:pPr>
        <w:pStyle w:val="BodyText"/>
      </w:pPr>
      <w:r>
        <w:rPr>
          <w:bCs/>
          <w:b/>
        </w:rPr>
        <w:t xml:space="preserve">Address:</w:t>
      </w:r>
      <w:r>
        <w:t xml:space="preserve"> </w:t>
      </w:r>
      <w:r>
        <w:t xml:space="preserve">123 Vali Asr Avenue, Tehran, Iran</w:t>
      </w:r>
    </w:p>
    <w:p>
      <w:pPr>
        <w:pStyle w:val="BodyText"/>
      </w:pPr>
      <w:r>
        <w:rPr>
          <w:bCs/>
          <w:b/>
        </w:rPr>
        <w:t xml:space="preserve">Email:</w:t>
      </w:r>
      <w:r>
        <w:t xml:space="preserve"> </w:t>
      </w:r>
      <w:r>
        <w:t xml:space="preserve">m.farahani@lawyer-tehran.ir</w:t>
      </w:r>
    </w:p>
    <w:p>
      <w:pPr>
        <w:pStyle w:val="BodyText"/>
      </w:pPr>
      <w:r>
        <w:rPr>
          <w:bCs/>
          <w:b/>
        </w:rPr>
        <w:t xml:space="preserve">Phone:</w:t>
      </w:r>
      <w:r>
        <w:t xml:space="preserve"> </w:t>
      </w:r>
      <w:r>
        <w:t xml:space="preserve">+98 21 1234 5678</w:t>
      </w:r>
    </w:p>
    <w:bookmarkEnd w:id="20"/>
    <w:bookmarkStart w:id="21" w:name="professional-summary"/>
    <w:p>
      <w:pPr>
        <w:pStyle w:val="Heading3"/>
      </w:pPr>
      <w:r>
        <w:t xml:space="preserve">Professional Summary</w:t>
      </w:r>
    </w:p>
    <w:p>
      <w:pPr>
        <w:pStyle w:val="FirstParagraph"/>
      </w:pPr>
      <w:r>
        <w:t xml:space="preserve">A dedicated and experienced Lawyer in Iran Tehran, with over a decade of expertise in civil litigation, corporate law, and constitutional rights advocacy. Specializing in navigating the complexities of the Iranian legal system while upholding ethical standards and client confidentiality. Proven track record in representing clients before courts, administrative bodies, and regulatory agencies across Tehran. Committed to delivering justice through rigorous legal analysis, strategic case management, and a deep understanding of Islamic jurisprudence (Sharia) alongside modern legal frameworks.</w:t>
      </w:r>
    </w:p>
    <w:bookmarkEnd w:id="21"/>
    <w:bookmarkStart w:id="22" w:name="education"/>
    <w:p>
      <w:pPr>
        <w:pStyle w:val="Heading3"/>
      </w:pPr>
      <w:r>
        <w:t xml:space="preserve">Education</w:t>
      </w:r>
    </w:p>
    <w:p>
      <w:pPr>
        <w:pStyle w:val="FirstParagraph"/>
      </w:pPr>
      <w:r>
        <w:rPr>
          <w:bCs/>
          <w:b/>
        </w:rPr>
        <w:t xml:space="preserve">University of Tehran</w:t>
      </w:r>
      <w:r>
        <w:br/>
      </w:r>
      <w:r>
        <w:t xml:space="preserve">Faculty of Law</w:t>
      </w:r>
      <w:r>
        <w:br/>
      </w:r>
      <w:r>
        <w:t xml:space="preserve">Master of Laws (LL.M.), 2010</w:t>
      </w:r>
      <w:r>
        <w:br/>
      </w:r>
      <w:r>
        <w:t xml:space="preserve">Thesis: "The Role of Islamic Principles in Modern Iranian Civil Law"</w:t>
      </w:r>
    </w:p>
    <w:p>
      <w:pPr>
        <w:pStyle w:val="BodyText"/>
      </w:pPr>
      <w:r>
        <w:rPr>
          <w:bCs/>
          <w:b/>
        </w:rPr>
        <w:t xml:space="preserve">Tehran University of Medical Sciences</w:t>
      </w:r>
      <w:r>
        <w:br/>
      </w:r>
      <w:r>
        <w:t xml:space="preserve">Bachelor’s Degree in Law, 2006</w:t>
      </w:r>
      <w:r>
        <w:br/>
      </w:r>
      <w:r>
        <w:t xml:space="preserve">Graduated with honors, focused on constitutional law and human rights.</w:t>
      </w:r>
    </w:p>
    <w:p>
      <w:pPr>
        <w:pStyle w:val="BodyText"/>
      </w:pPr>
      <w:r>
        <w:rPr>
          <w:bCs/>
          <w:b/>
        </w:rPr>
        <w:t xml:space="preserve">Islamic Azad University</w:t>
      </w:r>
      <w:r>
        <w:br/>
      </w:r>
      <w:r>
        <w:t xml:space="preserve">Certificate in Sharia and Civil Law Integration, 2015</w:t>
      </w:r>
    </w:p>
    <w:bookmarkEnd w:id="22"/>
    <w:bookmarkStart w:id="23" w:name="professional-experience"/>
    <w:p>
      <w:pPr>
        <w:pStyle w:val="Heading3"/>
      </w:pPr>
      <w:r>
        <w:t xml:space="preserve">Professional Experience</w:t>
      </w:r>
    </w:p>
    <w:p>
      <w:pPr>
        <w:pStyle w:val="FirstParagraph"/>
      </w:pPr>
      <w:r>
        <w:rPr>
          <w:bCs/>
          <w:b/>
        </w:rPr>
        <w:t xml:space="preserve">Senior Lawyer at Farahani Legal Consultancy</w:t>
      </w:r>
      <w:r>
        <w:br/>
      </w:r>
      <w:r>
        <w:t xml:space="preserve">Tehran, Iran | January 2015 – Present</w:t>
      </w:r>
      <w:r>
        <w:br/>
      </w:r>
      <w:r>
        <w:t xml:space="preserve">- Led a team of 10 lawyers specializing in corporate law, intellectual property, and dispute resolution.</w:t>
      </w:r>
      <w:r>
        <w:br/>
      </w:r>
      <w:r>
        <w:t xml:space="preserve">- Represented multinational companies in compliance with Iranian regulations and international trade agreements.</w:t>
      </w:r>
      <w:r>
        <w:br/>
      </w:r>
      <w:r>
        <w:t xml:space="preserve">- Advised clients on contract drafting, risk management, and regulatory filings within Tehran's legal ecosystem.</w:t>
      </w:r>
    </w:p>
    <w:p>
      <w:pPr>
        <w:pStyle w:val="BodyText"/>
      </w:pPr>
      <w:r>
        <w:rPr>
          <w:bCs/>
          <w:b/>
        </w:rPr>
        <w:t xml:space="preserve">Associate Lawyer at Tehran Law Firm</w:t>
      </w:r>
      <w:r>
        <w:br/>
      </w:r>
      <w:r>
        <w:t xml:space="preserve">Tehran, Iran | June 2010 – December 2014</w:t>
      </w:r>
      <w:r>
        <w:br/>
      </w:r>
      <w:r>
        <w:t xml:space="preserve">- Assisted in over 50 high-profile civil and criminal cases in the Tehran Courts.</w:t>
      </w:r>
      <w:r>
        <w:br/>
      </w:r>
      <w:r>
        <w:t xml:space="preserve">- Conducted legal research on Islamic law and its application to contemporary issues such as family disputes and inheritance rights.</w:t>
      </w:r>
      <w:r>
        <w:br/>
      </w:r>
      <w:r>
        <w:t xml:space="preserve">- Collaborated with government agencies to draft policy recommendations for legal reform.</w:t>
      </w:r>
    </w:p>
    <w:p>
      <w:pPr>
        <w:pStyle w:val="BodyText"/>
      </w:pPr>
      <w:r>
        <w:rPr>
          <w:bCs/>
          <w:b/>
        </w:rPr>
        <w:t xml:space="preserve">Legal Intern at the Iranian Ministry of Justice</w:t>
      </w:r>
      <w:r>
        <w:br/>
      </w:r>
      <w:r>
        <w:t xml:space="preserve">Tehran, Iran | Summer 2009</w:t>
      </w:r>
      <w:r>
        <w:br/>
      </w:r>
      <w:r>
        <w:t xml:space="preserve">- Supported the drafting of legislation related to labor law and judicial procedures.</w:t>
      </w:r>
      <w:r>
        <w:br/>
      </w:r>
      <w:r>
        <w:t xml:space="preserve">- Participated in workshops on court efficiency and client rights in Tehran's legal institutions.</w:t>
      </w:r>
    </w:p>
    <w:bookmarkEnd w:id="23"/>
    <w:bookmarkStart w:id="24" w:name="skills"/>
    <w:p>
      <w:pPr>
        <w:pStyle w:val="Heading3"/>
      </w:pPr>
      <w:r>
        <w:t xml:space="preserve">Skills</w:t>
      </w:r>
    </w:p>
    <w:p>
      <w:pPr>
        <w:numPr>
          <w:ilvl w:val="0"/>
          <w:numId w:val="1001"/>
        </w:numPr>
        <w:pStyle w:val="Compact"/>
      </w:pPr>
      <w:r>
        <w:t xml:space="preserve">Expertise in Iranian Civil, Criminal, and Constitutional Law</w:t>
      </w:r>
    </w:p>
    <w:p>
      <w:pPr>
        <w:numPr>
          <w:ilvl w:val="0"/>
          <w:numId w:val="1001"/>
        </w:numPr>
        <w:pStyle w:val="Compact"/>
      </w:pPr>
      <w:r>
        <w:t xml:space="preserve">Proficient in legal drafting, negotiation, and courtroom advocacy</w:t>
      </w:r>
    </w:p>
    <w:p>
      <w:pPr>
        <w:numPr>
          <w:ilvl w:val="0"/>
          <w:numId w:val="1001"/>
        </w:numPr>
        <w:pStyle w:val="Compact"/>
      </w:pPr>
      <w:r>
        <w:t xml:space="preserve">Certified in the use of legal databases such as LexisNexis Iran and Tehran Legal Archives</w:t>
      </w:r>
    </w:p>
    <w:p>
      <w:pPr>
        <w:numPr>
          <w:ilvl w:val="0"/>
          <w:numId w:val="1001"/>
        </w:numPr>
        <w:pStyle w:val="Compact"/>
      </w:pPr>
      <w:r>
        <w:t xml:space="preserve">Fluent in Persian (Farsi) and English; basic knowledge of Arabic for Sharia-related studies</w:t>
      </w:r>
    </w:p>
    <w:p>
      <w:pPr>
        <w:numPr>
          <w:ilvl w:val="0"/>
          <w:numId w:val="1001"/>
        </w:numPr>
        <w:pStyle w:val="Compact"/>
      </w:pPr>
      <w:r>
        <w:t xml:space="preserve">Strong analytical skills with a focus on case strategy and precedent analysis</w:t>
      </w:r>
    </w:p>
    <w:bookmarkEnd w:id="24"/>
    <w:bookmarkStart w:id="25" w:name="certifications-memberships"/>
    <w:p>
      <w:pPr>
        <w:pStyle w:val="Heading3"/>
      </w:pPr>
      <w:r>
        <w:t xml:space="preserve">Certifications &amp; Memberships</w:t>
      </w:r>
    </w:p>
    <w:p>
      <w:pPr>
        <w:pStyle w:val="FirstParagraph"/>
      </w:pPr>
      <w:r>
        <w:rPr>
          <w:bCs/>
          <w:b/>
        </w:rPr>
        <w:t xml:space="preserve">Iranian Bar Association (IBA)</w:t>
      </w:r>
      <w:r>
        <w:br/>
      </w:r>
      <w:r>
        <w:t xml:space="preserve">Member since 2011, with a focus on ethical legal practice and continuing education.</w:t>
      </w:r>
    </w:p>
    <w:p>
      <w:pPr>
        <w:pStyle w:val="BodyText"/>
      </w:pPr>
      <w:r>
        <w:rPr>
          <w:bCs/>
          <w:b/>
        </w:rPr>
        <w:t xml:space="preserve">Legal Ethics and Professional Responsibility Certification</w:t>
      </w:r>
      <w:r>
        <w:br/>
      </w:r>
      <w:r>
        <w:t xml:space="preserve">Tehran Judicial Academy, 2013</w:t>
      </w:r>
    </w:p>
    <w:p>
      <w:pPr>
        <w:pStyle w:val="BodyText"/>
      </w:pPr>
      <w:r>
        <w:rPr>
          <w:bCs/>
          <w:b/>
        </w:rPr>
        <w:t xml:space="preserve">Certificate in International Business Law</w:t>
      </w:r>
      <w:r>
        <w:br/>
      </w:r>
      <w:r>
        <w:t xml:space="preserve">University of Tehran Executive Education, 2017</w:t>
      </w:r>
    </w:p>
    <w:bookmarkEnd w:id="25"/>
    <w:bookmarkStart w:id="26" w:name="publications-speeches"/>
    <w:p>
      <w:pPr>
        <w:pStyle w:val="Heading3"/>
      </w:pPr>
      <w:r>
        <w:t xml:space="preserve">Publications &amp; Speeches</w:t>
      </w:r>
    </w:p>
    <w:p>
      <w:pPr>
        <w:pStyle w:val="FirstParagraph"/>
      </w:pPr>
      <w:r>
        <w:rPr>
          <w:iCs/>
          <w:i/>
        </w:rPr>
        <w:t xml:space="preserve">"The Intersection of Sharia and Modern Jurisprudence in Iran"</w:t>
      </w:r>
      <w:r>
        <w:t xml:space="preserve"> </w:t>
      </w:r>
      <w:r>
        <w:t xml:space="preserve">– Published in the Journal of Iranian Legal Studies, 2018.</w:t>
      </w:r>
    </w:p>
    <w:p>
      <w:pPr>
        <w:pStyle w:val="BodyText"/>
      </w:pPr>
      <w:r>
        <w:rPr>
          <w:iCs/>
          <w:i/>
        </w:rPr>
        <w:t xml:space="preserve">"Legal Reforms for Economic Development in Tehran"</w:t>
      </w:r>
      <w:r>
        <w:t xml:space="preserve"> </w:t>
      </w:r>
      <w:r>
        <w:t xml:space="preserve">– Presented at the Tehran Legal Conference, 2020.</w:t>
      </w:r>
    </w:p>
    <w:p>
      <w:pPr>
        <w:pStyle w:val="BodyText"/>
      </w:pPr>
      <w:r>
        <w:rPr>
          <w:iCs/>
          <w:i/>
        </w:rPr>
        <w:t xml:space="preserve">"Corporate Compliance Strategies for Multinational Firms in Iran"</w:t>
      </w:r>
      <w:r>
        <w:t xml:space="preserve"> </w:t>
      </w:r>
      <w:r>
        <w:t xml:space="preserve">– Featured in a webinar hosted by the Iranian Business Law Association, 2021.</w:t>
      </w:r>
    </w:p>
    <w:bookmarkEnd w:id="26"/>
    <w:bookmarkStart w:id="27" w:name="additional-information"/>
    <w:p>
      <w:pPr>
        <w:pStyle w:val="Heading3"/>
      </w:pPr>
      <w:r>
        <w:t xml:space="preserve">Additional Information</w:t>
      </w:r>
    </w:p>
    <w:p>
      <w:pPr>
        <w:pStyle w:val="FirstParagraph"/>
      </w:pPr>
      <w:r>
        <w:rPr>
          <w:bCs/>
          <w:b/>
        </w:rPr>
        <w:t xml:space="preserve">Language Proficiency:</w:t>
      </w:r>
      <w:r>
        <w:t xml:space="preserve"> </w:t>
      </w:r>
      <w:r>
        <w:t xml:space="preserve">Persian (native), English (fluent), Arabic (basic)</w:t>
      </w:r>
    </w:p>
    <w:p>
      <w:pPr>
        <w:pStyle w:val="BodyText"/>
      </w:pPr>
      <w:r>
        <w:rPr>
          <w:bCs/>
          <w:b/>
        </w:rPr>
        <w:t xml:space="preserve">Volunteer Work:</w:t>
      </w:r>
      <w:r>
        <w:t xml:space="preserve"> </w:t>
      </w:r>
      <w:r>
        <w:t xml:space="preserve">Legal aid volunteer at the Tehran Human Rights Foundation, 2016–2022.</w:t>
      </w:r>
    </w:p>
    <w:p>
      <w:pPr>
        <w:pStyle w:val="BodyText"/>
      </w:pPr>
      <w:r>
        <w:rPr>
          <w:bCs/>
          <w:b/>
        </w:rPr>
        <w:t xml:space="preserve">Credentials:</w:t>
      </w:r>
      <w:r>
        <w:t xml:space="preserve"> </w:t>
      </w:r>
      <w:r>
        <w:t xml:space="preserve">Bar Exam Passer, Iranian Ministry of Justice, 2011.</w:t>
      </w:r>
    </w:p>
    <w:bookmarkEnd w:id="27"/>
    <w:p>
      <w:r>
        <w:pict>
          <v:rect style="width:0;height:1.5pt" o:hralign="center" o:hrstd="t" o:hr="t"/>
        </w:pict>
      </w:r>
    </w:p>
    <w:p>
      <w:pPr>
        <w:pStyle w:val="FirstParagraph"/>
      </w:pPr>
      <w:r>
        <w:t xml:space="preserve">© 2023 Mohammad Reza Farahani | Curriculum Vitae for Lawyer in Iran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Iran Tehran</dc:title>
  <dc:creator/>
  <dc:language>en</dc:language>
  <cp:keywords/>
  <dcterms:created xsi:type="dcterms:W3CDTF">2026-05-31T16:26:35Z</dcterms:created>
  <dcterms:modified xsi:type="dcterms:W3CDTF">2026-05-31T16:26:35Z</dcterms:modified>
</cp:coreProperties>
</file>

<file path=docProps/custom.xml><?xml version="1.0" encoding="utf-8"?>
<Properties xmlns="http://schemas.openxmlformats.org/officeDocument/2006/custom-properties" xmlns:vt="http://schemas.openxmlformats.org/officeDocument/2006/docPropsVTypes"/>
</file>