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lawyer-in-malaysia-kuala-lumpur"/>
    <w:p>
      <w:pPr>
        <w:pStyle w:val="Heading2"/>
      </w:pPr>
      <w:r>
        <w:t xml:space="preserve">Lawyer in Malaysia Kuala Lumpur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Jalan KL, Kuala Lumpur, Malaysia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experienced Lawyer in Malaysia Kuala Lumpur with a strong focus on corporate law, litigation, and dispute resolution. A dedicated legal professional with over [X years] of expertise in navigating the complexities of Malaysian legal frameworks, providing strategic counsel to clients across diverse industries. Proficient in both civil and commercial law, with a track record of achieving favorable outcomes for clients in high-stakes cases within the dynamic legal landscape of Kuala Lumpur.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Malaya, Kuala Lumpur, Malaysia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Legal Studies</w:t>
      </w:r>
      <w:r>
        <w:t xml:space="preserve">, University of Nottingham, United Kingdom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Practice Course (PPC)</w:t>
      </w:r>
      <w:r>
        <w:t xml:space="preserve">, Malaysian Bar Council, Kuala Lumpur, Malaysia (Completed: [Year])</w:t>
      </w:r>
    </w:p>
    <w:bookmarkEnd w:id="22"/>
    <w:bookmarkStart w:id="26" w:name="legal-experience"/>
    <w:p>
      <w:pPr>
        <w:pStyle w:val="Heading3"/>
      </w:pPr>
      <w:r>
        <w:t xml:space="preserve">Legal Experience</w:t>
      </w:r>
    </w:p>
    <w:bookmarkStart w:id="23" w:name="senior-associate-lawyer"/>
    <w:p>
      <w:pPr>
        <w:pStyle w:val="Heading4"/>
      </w:pPr>
      <w:r>
        <w:t xml:space="preserve">Senior Associate Lawyer</w:t>
      </w:r>
    </w:p>
    <w:p>
      <w:pPr>
        <w:pStyle w:val="FirstParagraph"/>
      </w:pPr>
      <w:r>
        <w:rPr>
          <w:iCs/>
          <w:i/>
        </w:rPr>
        <w:t xml:space="preserve">[Law Firm Name], Kuala Lumpur, Malaysia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2"/>
        </w:numPr>
        <w:pStyle w:val="Compact"/>
      </w:pPr>
      <w:r>
        <w:t xml:space="preserve">Provided comprehensive legal advice to clients on corporate governance, commercial contracts, and regulatory compliance in Malaysia Kuala Lumpur.</w:t>
      </w:r>
    </w:p>
    <w:p>
      <w:pPr>
        <w:numPr>
          <w:ilvl w:val="0"/>
          <w:numId w:val="1002"/>
        </w:numPr>
        <w:pStyle w:val="Compact"/>
      </w:pPr>
      <w:r>
        <w:t xml:space="preserve">Managed a caseload of over [X] litigation matters, including civil disputes, shareholder conflicts, and property rights issues.</w:t>
      </w:r>
    </w:p>
    <w:p>
      <w:pPr>
        <w:numPr>
          <w:ilvl w:val="0"/>
          <w:numId w:val="1002"/>
        </w:numPr>
        <w:pStyle w:val="Compact"/>
      </w:pPr>
      <w:r>
        <w:t xml:space="preserve">Collaborated with senior partners to draft legal documents such as pleadings, settlements, and court submissions for high-profile cases in the Kuala Lumpur High Court.</w:t>
      </w:r>
    </w:p>
    <w:p>
      <w:pPr>
        <w:numPr>
          <w:ilvl w:val="0"/>
          <w:numId w:val="1002"/>
        </w:numPr>
        <w:pStyle w:val="Compact"/>
      </w:pPr>
      <w:r>
        <w:t xml:space="preserve">Advised international clients on cross-border transactions and helped establish business entities under Malaysian laws.</w:t>
      </w:r>
    </w:p>
    <w:bookmarkEnd w:id="23"/>
    <w:bookmarkStart w:id="24" w:name="associate-lawyer"/>
    <w:p>
      <w:pPr>
        <w:pStyle w:val="Heading4"/>
      </w:pPr>
      <w: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[Another Law Firm Name], Kuala Lumpur, Malaysia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Supported legal teams in preparing for trials and arbitrations, ensuring adherence to procedural rules in Malaysian courts.</w:t>
      </w:r>
    </w:p>
    <w:p>
      <w:pPr>
        <w:numPr>
          <w:ilvl w:val="0"/>
          <w:numId w:val="1003"/>
        </w:numPr>
        <w:pStyle w:val="Compact"/>
      </w:pPr>
      <w:r>
        <w:t xml:space="preserve">Conducted legal research on emerging issues in corporate law, family law, and labor rights relevant to Malaysia Kuala Lumpur.</w:t>
      </w:r>
    </w:p>
    <w:p>
      <w:pPr>
        <w:numPr>
          <w:ilvl w:val="0"/>
          <w:numId w:val="1003"/>
        </w:numPr>
        <w:pStyle w:val="Compact"/>
      </w:pPr>
      <w:r>
        <w:t xml:space="preserve">Represented clients in mediation sessions and negotiated settlements to resolve disputes efficiently.</w:t>
      </w:r>
    </w:p>
    <w:p>
      <w:pPr>
        <w:numPr>
          <w:ilvl w:val="0"/>
          <w:numId w:val="1003"/>
        </w:numPr>
        <w:pStyle w:val="Compact"/>
      </w:pPr>
      <w:r>
        <w:t xml:space="preserve">Contributed to pro bono initiatives by offering free legal consultations at local community centers in Kuala Lumpur.</w:t>
      </w:r>
    </w:p>
    <w:bookmarkEnd w:id="24"/>
    <w:bookmarkStart w:id="25" w:name="legal-intern"/>
    <w:p>
      <w:pPr>
        <w:pStyle w:val="Heading4"/>
      </w:pPr>
      <w:r>
        <w:t xml:space="preserve">Legal Intern</w:t>
      </w:r>
    </w:p>
    <w:p>
      <w:pPr>
        <w:pStyle w:val="FirstParagraph"/>
      </w:pPr>
      <w:r>
        <w:rPr>
          <w:iCs/>
          <w:i/>
        </w:rPr>
        <w:t xml:space="preserve">[Government Agency or Law Firm Name], Kuala Lumpur, Malaysia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drafting legal opinions and conducting due diligence for government contracts.</w:t>
      </w:r>
    </w:p>
    <w:p>
      <w:pPr>
        <w:numPr>
          <w:ilvl w:val="0"/>
          <w:numId w:val="1004"/>
        </w:numPr>
        <w:pStyle w:val="Compact"/>
      </w:pPr>
      <w:r>
        <w:t xml:space="preserve">Assisted in organizing workshops on legal awareness for small and medium enterprises (SMEs) in Kuala Lumpur.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Malaysian corporate law, civil litigation, and commercial arbitration.</w:t>
      </w:r>
    </w:p>
    <w:p>
      <w:pPr>
        <w:numPr>
          <w:ilvl w:val="0"/>
          <w:numId w:val="1005"/>
        </w:numPr>
        <w:pStyle w:val="Compact"/>
      </w:pPr>
      <w:r>
        <w:t xml:space="preserve">Strong analytical and problem-solving skills with a focus on legal strategy in Kuala Lumpur's business environment.</w:t>
      </w:r>
    </w:p>
    <w:p>
      <w:pPr>
        <w:numPr>
          <w:ilvl w:val="0"/>
          <w:numId w:val="1005"/>
        </w:numPr>
        <w:pStyle w:val="Compact"/>
      </w:pPr>
      <w:r>
        <w:t xml:space="preserve">Fluent in English and Malay; basic understanding of Chinese (Mandarin) for client interactions.</w:t>
      </w:r>
    </w:p>
    <w:p>
      <w:pPr>
        <w:numPr>
          <w:ilvl w:val="0"/>
          <w:numId w:val="1005"/>
        </w:numPr>
        <w:pStyle w:val="Compact"/>
      </w:pPr>
      <w:r>
        <w:t xml:space="preserve">Proficient in legal research tools such as LexisNexis, Westlaw, and Malaysian statutes databases.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client consultations, court appearances, and negotiations.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Malaysian Bar Council</w:t>
      </w:r>
      <w:r>
        <w:t xml:space="preserve"> </w:t>
      </w:r>
      <w:r>
        <w:t xml:space="preserve">(Registered Number: [Number])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Arbitrator</w:t>
      </w:r>
      <w:r>
        <w:t xml:space="preserve">, Kuala Lumpur Regional Centre for Arbitration (KLRC),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Family Law and Child Welfare</w:t>
      </w:r>
      <w:r>
        <w:t xml:space="preserve">, Malaysian Institute of Legal Education, 20XX.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Digital Transformation in Legal Practice</w:t>
      </w:r>
      <w:r>
        <w:t xml:space="preserve">, Kuala Lumpur, 20XX.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Kuala Lumpur Legal Aid Society, contributing to free legal clinics and public awareness campaigns on human rights and consumer protection.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(fluent), Mandarin (basic).</w:t>
      </w:r>
    </w:p>
    <w:p>
      <w:pPr>
        <w:pStyle w:val="BodyText"/>
      </w:pPr>
      <w:r>
        <w:rPr>
          <w:bCs/>
          <w:b/>
        </w:rPr>
        <w:t xml:space="preserve">Honors/Awards:</w:t>
      </w:r>
      <w:r>
        <w:t xml:space="preserve"> </w:t>
      </w:r>
      <w:r>
        <w:t xml:space="preserve">Recognized as "Top Young Lawyer in Kuala Lumpur" by [Legal Publication Name], 20XX.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partners from [Law Firm Names] and legal professionals in Malaysia Kuala Lumpur.</w:t>
      </w:r>
    </w:p>
    <w:bookmarkEnd w:id="30"/>
    <w:p>
      <w:pPr>
        <w:pStyle w:val="BodyText"/>
      </w:pPr>
      <w:r>
        <w:rPr>
          <w:bCs/>
          <w:b/>
        </w:rPr>
        <w:t xml:space="preserve">Curriculum Vitae - Lawyer in Malaysia Kuala Lumpur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Malaysia Kuala Lumpur</dc:title>
  <dc:creator/>
  <dc:language>en</dc:language>
  <cp:keywords/>
  <dcterms:created xsi:type="dcterms:W3CDTF">2026-07-23T19:18:03Z</dcterms:created>
  <dcterms:modified xsi:type="dcterms:W3CDTF">2026-07-23T19:18:03Z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