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6" w:name="curriculum-vitae"/>
    <w:p>
      <w:pPr>
        <w:pStyle w:val="Heading1"/>
      </w:pPr>
      <w:r>
        <w:t xml:space="preserve">Curriculum Vitae</w:t>
      </w:r>
    </w:p>
    <w:bookmarkStart w:id="35" w:name="medical-researcher-australia-sydney"/>
    <w:p>
      <w:pPr>
        <w:pStyle w:val="Heading2"/>
      </w:pPr>
      <w:r>
        <w:t xml:space="preserve">Medical Researcher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Health Science Lane, Sydney NSW 2000, Australia</w:t>
      </w:r>
      <w:r>
        <w:br/>
      </w:r>
      <w:r>
        <w:rPr>
          <w:bCs/>
          <w:b/>
        </w:rPr>
        <w:t xml:space="preserve">Email:</w:t>
      </w:r>
      <w:r>
        <w:t xml:space="preserve"> </w:t>
      </w:r>
      <w:r>
        <w:t xml:space="preserve">emily.thompson@medicalresearch.au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linkedin.com/in/emilythompson-medicalresearch</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Australia Sydney, specializing in translational biomedical research. My work focuses on advancing cancer therapeutics and leveraging cutting-edge technologies to address critical health challenges. As a researcher based in Australia Sydney, I have collaborated with leading institutions such as the University of Sydney and the Garvan Institute of Medical Research to drive innovation and improve patient outcomes. My expertise spans experimental design, data analysis, and interdisciplinary collaboration, making me a valuable asset to research teams across academia and industry in Australia Sydney.</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University of Sydney, Australia (2015–2018)</w:t>
      </w:r>
      <w:r>
        <w:br/>
      </w:r>
      <w:r>
        <w:t xml:space="preserve">Thesis: "Targeting Tumor Microenvironments for Enhanced Immunotherapy Efficacy"</w:t>
      </w:r>
    </w:p>
    <w:p>
      <w:pPr>
        <w:numPr>
          <w:ilvl w:val="0"/>
          <w:numId w:val="1001"/>
        </w:numPr>
        <w:pStyle w:val="Compact"/>
      </w:pPr>
      <w:r>
        <w:rPr>
          <w:bCs/>
          <w:b/>
        </w:rPr>
        <w:t xml:space="preserve">MSc in Molecular Biology</w:t>
      </w:r>
      <w:r>
        <w:t xml:space="preserve">, University of New South Wales (UNSW), Australia (2012–2014)</w:t>
      </w:r>
    </w:p>
    <w:p>
      <w:pPr>
        <w:numPr>
          <w:ilvl w:val="0"/>
          <w:numId w:val="1001"/>
        </w:numPr>
        <w:pStyle w:val="Compact"/>
      </w:pPr>
      <w:r>
        <w:rPr>
          <w:bCs/>
          <w:b/>
        </w:rPr>
        <w:t xml:space="preserve">BSc in Biochemistry</w:t>
      </w:r>
      <w:r>
        <w:t xml:space="preserve">, Australian National University, Canberra, Australia (2009–2011)</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bCs/>
          <w:b/>
        </w:rPr>
        <w:t xml:space="preserve">Garvan Institute of Medical Research, Sydney, Australia</w:t>
      </w:r>
      <w:r>
        <w:br/>
      </w:r>
      <w:r>
        <w:rPr>
          <w:iCs/>
          <w:i/>
        </w:rPr>
        <w:t xml:space="preserve">2020–Present</w:t>
      </w:r>
    </w:p>
    <w:p>
      <w:pPr>
        <w:numPr>
          <w:ilvl w:val="0"/>
          <w:numId w:val="1002"/>
        </w:numPr>
        <w:pStyle w:val="Compact"/>
      </w:pPr>
      <w:r>
        <w:t xml:space="preserve">Led a team of 15 researchers in projects focused on precision oncology and genomics.</w:t>
      </w:r>
    </w:p>
    <w:p>
      <w:pPr>
        <w:numPr>
          <w:ilvl w:val="0"/>
          <w:numId w:val="1002"/>
        </w:numPr>
        <w:pStyle w:val="Compact"/>
      </w:pPr>
      <w:r>
        <w:t xml:space="preserve">Published 12 peer-reviewed articles in high-impact journals, including *Nature Medicine* and *Cancer Cell*.</w:t>
      </w:r>
    </w:p>
    <w:p>
      <w:pPr>
        <w:numPr>
          <w:ilvl w:val="0"/>
          <w:numId w:val="1002"/>
        </w:numPr>
        <w:pStyle w:val="Compact"/>
      </w:pPr>
      <w:r>
        <w:t xml:space="preserve">Collaborated with clinicians at St. Vincent’s Hospital Sydney to translate laboratory findings into clinical trials.</w:t>
      </w:r>
    </w:p>
    <w:p>
      <w:pPr>
        <w:numPr>
          <w:ilvl w:val="0"/>
          <w:numId w:val="1002"/>
        </w:numPr>
        <w:pStyle w:val="Compact"/>
      </w:pPr>
      <w:r>
        <w:t xml:space="preserve">Secured over $3 million in research funding from the National Health and Medical Research Council (NHMRC).</w:t>
      </w:r>
    </w:p>
    <w:bookmarkEnd w:id="23"/>
    <w:bookmarkStart w:id="24" w:name="postdoctoral-research-fellow"/>
    <w:p>
      <w:pPr>
        <w:pStyle w:val="Heading4"/>
      </w:pPr>
      <w:r>
        <w:t xml:space="preserve">Postdoctoral Research Fellow</w:t>
      </w:r>
    </w:p>
    <w:p>
      <w:pPr>
        <w:pStyle w:val="FirstParagraph"/>
      </w:pPr>
      <w:r>
        <w:rPr>
          <w:bCs/>
          <w:b/>
        </w:rPr>
        <w:t xml:space="preserve">Sydney Medical School, University of Sydney, Australia</w:t>
      </w:r>
      <w:r>
        <w:br/>
      </w:r>
      <w:r>
        <w:rPr>
          <w:iCs/>
          <w:i/>
        </w:rPr>
        <w:t xml:space="preserve">2018–2020</w:t>
      </w:r>
    </w:p>
    <w:p>
      <w:pPr>
        <w:numPr>
          <w:ilvl w:val="0"/>
          <w:numId w:val="1003"/>
        </w:numPr>
        <w:pStyle w:val="Compact"/>
      </w:pPr>
      <w:r>
        <w:t xml:space="preserve">Developed novel assays to study cancer cell metabolism in the context of Australia Sydney’s diverse population.</w:t>
      </w:r>
    </w:p>
    <w:p>
      <w:pPr>
        <w:numPr>
          <w:ilvl w:val="0"/>
          <w:numId w:val="1003"/>
        </w:numPr>
        <w:pStyle w:val="Compact"/>
      </w:pPr>
      <w:r>
        <w:t xml:space="preserve">Presented findings at the Australian Society for Medical Research (ASMR) Annual Conference, receiving the Early Career Researcher Award.</w:t>
      </w:r>
    </w:p>
    <w:p>
      <w:pPr>
        <w:numPr>
          <w:ilvl w:val="0"/>
          <w:numId w:val="1003"/>
        </w:numPr>
        <w:pStyle w:val="Compact"/>
      </w:pPr>
      <w:r>
        <w:t xml:space="preserve">Contributed to a multidisciplinary project on immunotherapy resistance, published in *The Lancet Oncology*.</w:t>
      </w:r>
    </w:p>
    <w:bookmarkEnd w:id="24"/>
    <w:bookmarkStart w:id="25" w:name="research-assistant"/>
    <w:p>
      <w:pPr>
        <w:pStyle w:val="Heading4"/>
      </w:pPr>
      <w:r>
        <w:t xml:space="preserve">Research Assistant</w:t>
      </w:r>
    </w:p>
    <w:p>
      <w:pPr>
        <w:pStyle w:val="FirstParagraph"/>
      </w:pPr>
      <w:r>
        <w:rPr>
          <w:bCs/>
          <w:b/>
        </w:rPr>
        <w:t xml:space="preserve">Wollongong Hospital Research Unit, Sydney, Australia</w:t>
      </w:r>
      <w:r>
        <w:br/>
      </w:r>
      <w:r>
        <w:rPr>
          <w:iCs/>
          <w:i/>
        </w:rPr>
        <w:t xml:space="preserve">2014–2015</w:t>
      </w:r>
    </w:p>
    <w:p>
      <w:pPr>
        <w:numPr>
          <w:ilvl w:val="0"/>
          <w:numId w:val="1004"/>
        </w:numPr>
        <w:pStyle w:val="Compact"/>
      </w:pPr>
      <w:r>
        <w:t xml:space="preserve">Assisted in clinical trials evaluating new therapies for breast cancer patients.</w:t>
      </w:r>
    </w:p>
    <w:p>
      <w:pPr>
        <w:numPr>
          <w:ilvl w:val="0"/>
          <w:numId w:val="1004"/>
        </w:numPr>
        <w:pStyle w:val="Compact"/>
      </w:pPr>
      <w:r>
        <w:t xml:space="preserve">Managed data collection and statistical analysis using R and SPSS.</w:t>
      </w:r>
    </w:p>
    <w:p>
      <w:pPr>
        <w:numPr>
          <w:ilvl w:val="0"/>
          <w:numId w:val="1004"/>
        </w:numPr>
        <w:pStyle w:val="Compact"/>
      </w:pPr>
      <w:r>
        <w:t xml:space="preserve">Campaigned for increased funding for rare disease research within Australia Sydney’s healthcare sector.</w:t>
      </w:r>
    </w:p>
    <w:bookmarkEnd w:id="25"/>
    <w:bookmarkEnd w:id="26"/>
    <w:bookmarkStart w:id="29" w:name="research-experience"/>
    <w:p>
      <w:pPr>
        <w:pStyle w:val="Heading3"/>
      </w:pPr>
      <w:r>
        <w:t xml:space="preserve">Research Experience</w:t>
      </w:r>
    </w:p>
    <w:bookmarkStart w:id="27" w:name="X8304b166c9a997a26811388443b58e86c740ab4"/>
    <w:p>
      <w:pPr>
        <w:pStyle w:val="Heading4"/>
      </w:pPr>
      <w:r>
        <w:t xml:space="preserve">Project: Precision Medicine in Indigenous Populations</w:t>
      </w:r>
    </w:p>
    <w:p>
      <w:pPr>
        <w:pStyle w:val="FirstParagraph"/>
      </w:pPr>
      <w:r>
        <w:rPr>
          <w:bCs/>
          <w:b/>
        </w:rPr>
        <w:t xml:space="preserve">Funded by NHMRC, 2021–2023</w:t>
      </w:r>
    </w:p>
    <w:p>
      <w:pPr>
        <w:numPr>
          <w:ilvl w:val="0"/>
          <w:numId w:val="1005"/>
        </w:numPr>
        <w:pStyle w:val="Compact"/>
      </w:pPr>
      <w:r>
        <w:t xml:space="preserve">Collaborated with Aboriginal health organizations in Australia Sydney to study genetic predispositions to diabetes and cardiovascular disease.</w:t>
      </w:r>
    </w:p>
    <w:p>
      <w:pPr>
        <w:numPr>
          <w:ilvl w:val="0"/>
          <w:numId w:val="1005"/>
        </w:numPr>
        <w:pStyle w:val="Compact"/>
      </w:pPr>
      <w:r>
        <w:t xml:space="preserve">Published a landmark study in *The Medical Journal of Australia* highlighting the need for culturally sensitive research practices.</w:t>
      </w:r>
    </w:p>
    <w:bookmarkEnd w:id="27"/>
    <w:bookmarkStart w:id="28" w:name="project-ai-driven-drug-discovery"/>
    <w:p>
      <w:pPr>
        <w:pStyle w:val="Heading4"/>
      </w:pPr>
      <w:r>
        <w:t xml:space="preserve">Project: AI-Driven Drug Discovery</w:t>
      </w:r>
    </w:p>
    <w:p>
      <w:pPr>
        <w:pStyle w:val="FirstParagraph"/>
      </w:pPr>
      <w:r>
        <w:rPr>
          <w:bCs/>
          <w:b/>
        </w:rPr>
        <w:t xml:space="preserve">Funded by the Australian Government’s Department of Industry, Science and Resources, 2019–2021</w:t>
      </w:r>
    </w:p>
    <w:p>
      <w:pPr>
        <w:numPr>
          <w:ilvl w:val="0"/>
          <w:numId w:val="1006"/>
        </w:numPr>
        <w:pStyle w:val="Compact"/>
      </w:pPr>
      <w:r>
        <w:t xml:space="preserve">Integrated machine learning models with traditional pharmacological screening to identify new compounds for glioblastoma.</w:t>
      </w:r>
    </w:p>
    <w:p>
      <w:pPr>
        <w:numPr>
          <w:ilvl w:val="0"/>
          <w:numId w:val="1006"/>
        </w:numPr>
        <w:pStyle w:val="Compact"/>
      </w:pPr>
      <w:r>
        <w:t xml:space="preserve">Partnered with biotech startups in Sydney to pilot AI platforms for drug repurposing.</w:t>
      </w:r>
    </w:p>
    <w:bookmarkEnd w:id="28"/>
    <w:bookmarkEnd w:id="29"/>
    <w:bookmarkStart w:id="30" w:name="publications"/>
    <w:p>
      <w:pPr>
        <w:pStyle w:val="Heading3"/>
      </w:pPr>
      <w:r>
        <w:t xml:space="preserve">Publications</w:t>
      </w:r>
    </w:p>
    <w:p>
      <w:pPr>
        <w:numPr>
          <w:ilvl w:val="0"/>
          <w:numId w:val="1007"/>
        </w:numPr>
        <w:pStyle w:val="Compact"/>
      </w:pPr>
      <w:r>
        <w:t xml:space="preserve">Thompson, E., et al. (2023). "Genetic Diversity and Cancer Outcomes in Australia Sydney." *Nature Genetics*, 55(4), 678–690.</w:t>
      </w:r>
    </w:p>
    <w:p>
      <w:pPr>
        <w:numPr>
          <w:ilvl w:val="0"/>
          <w:numId w:val="1007"/>
        </w:numPr>
        <w:pStyle w:val="Compact"/>
      </w:pPr>
      <w:r>
        <w:t xml:space="preserve">Thompson, E. (2021). "Machine Learning for Precision Oncology." *Cancer Research*, 81(12), 3045–3047.</w:t>
      </w:r>
    </w:p>
    <w:p>
      <w:pPr>
        <w:numPr>
          <w:ilvl w:val="0"/>
          <w:numId w:val="1007"/>
        </w:numPr>
        <w:pStyle w:val="Compact"/>
      </w:pPr>
      <w:r>
        <w:t xml:space="preserve">Thompson, E., et al. (2019). "Immunotherapy Resistance in Melanoma: Mechanisms and Solutions." *The Lancet Oncology*, 20(7), 985–996.</w:t>
      </w:r>
    </w:p>
    <w:bookmarkEnd w:id="30"/>
    <w:bookmarkStart w:id="31" w:name="skills-and-competencies"/>
    <w:p>
      <w:pPr>
        <w:pStyle w:val="Heading3"/>
      </w:pPr>
      <w:r>
        <w:t xml:space="preserve">Skills and Competencies</w:t>
      </w:r>
    </w:p>
    <w:p>
      <w:pPr>
        <w:numPr>
          <w:ilvl w:val="0"/>
          <w:numId w:val="1008"/>
        </w:numPr>
        <w:pStyle w:val="Compact"/>
      </w:pPr>
      <w:r>
        <w:rPr>
          <w:bCs/>
          <w:b/>
        </w:rPr>
        <w:t xml:space="preserve">Laboratory Techniques:</w:t>
      </w:r>
      <w:r>
        <w:t xml:space="preserve"> </w:t>
      </w:r>
      <w:r>
        <w:t xml:space="preserve">PCR, ELISA, CRISPR-Cas9, Flow Cytometry</w:t>
      </w:r>
    </w:p>
    <w:p>
      <w:pPr>
        <w:numPr>
          <w:ilvl w:val="0"/>
          <w:numId w:val="1008"/>
        </w:numPr>
        <w:pStyle w:val="Compact"/>
      </w:pPr>
      <w:r>
        <w:rPr>
          <w:bCs/>
          <w:b/>
        </w:rPr>
        <w:t xml:space="preserve">Data Analysis:</w:t>
      </w:r>
      <w:r>
        <w:t xml:space="preserve"> </w:t>
      </w:r>
      <w:r>
        <w:t xml:space="preserve">R, Python, SPSS, Bioconductor</w:t>
      </w:r>
    </w:p>
    <w:p>
      <w:pPr>
        <w:numPr>
          <w:ilvl w:val="0"/>
          <w:numId w:val="1008"/>
        </w:numPr>
        <w:pStyle w:val="Compact"/>
      </w:pPr>
      <w:r>
        <w:rPr>
          <w:bCs/>
          <w:b/>
        </w:rPr>
        <w:t xml:space="preserve">Crafting Grants:</w:t>
      </w:r>
      <w:r>
        <w:t xml:space="preserve"> </w:t>
      </w:r>
      <w:r>
        <w:t xml:space="preserve">Experience writing NHMRC and ARC grant proposals</w:t>
      </w:r>
    </w:p>
    <w:p>
      <w:pPr>
        <w:numPr>
          <w:ilvl w:val="0"/>
          <w:numId w:val="1008"/>
        </w:numPr>
        <w:pStyle w:val="Compact"/>
      </w:pPr>
      <w:r>
        <w:rPr>
          <w:bCs/>
          <w:b/>
        </w:rPr>
        <w:t xml:space="preserve">Communication:</w:t>
      </w:r>
      <w:r>
        <w:t xml:space="preserve"> </w:t>
      </w:r>
      <w:r>
        <w:t xml:space="preserve">Strong presentation skills; fluent in English and basic Spanish</w:t>
      </w:r>
    </w:p>
    <w:bookmarkEnd w:id="31"/>
    <w:bookmarkStart w:id="32" w:name="professional-memberships"/>
    <w:p>
      <w:pPr>
        <w:pStyle w:val="Heading3"/>
      </w:pPr>
      <w:r>
        <w:t xml:space="preserve">Professional Memberships</w:t>
      </w:r>
    </w:p>
    <w:p>
      <w:pPr>
        <w:numPr>
          <w:ilvl w:val="0"/>
          <w:numId w:val="1009"/>
        </w:numPr>
        <w:pStyle w:val="Compact"/>
      </w:pPr>
      <w:r>
        <w:t xml:space="preserve">Australian Society for Medical Research (ASMR)</w:t>
      </w:r>
    </w:p>
    <w:p>
      <w:pPr>
        <w:numPr>
          <w:ilvl w:val="0"/>
          <w:numId w:val="1009"/>
        </w:numPr>
        <w:pStyle w:val="Compact"/>
      </w:pPr>
      <w:r>
        <w:t xml:space="preserve">Australian Cancer Research Association (ACRA)</w:t>
      </w:r>
    </w:p>
    <w:p>
      <w:pPr>
        <w:numPr>
          <w:ilvl w:val="0"/>
          <w:numId w:val="1009"/>
        </w:numPr>
        <w:pStyle w:val="Compact"/>
      </w:pPr>
      <w:r>
        <w:t xml:space="preserve">International Society for Computational Biology (ISCB)</w:t>
      </w:r>
    </w:p>
    <w:bookmarkEnd w:id="32"/>
    <w:bookmarkStart w:id="33" w:name="certifications"/>
    <w:p>
      <w:pPr>
        <w:pStyle w:val="Heading3"/>
      </w:pPr>
      <w:r>
        <w:t xml:space="preserve">Certifications</w:t>
      </w:r>
    </w:p>
    <w:p>
      <w:pPr>
        <w:numPr>
          <w:ilvl w:val="0"/>
          <w:numId w:val="1010"/>
        </w:numPr>
        <w:pStyle w:val="Compact"/>
      </w:pPr>
      <w:r>
        <w:t xml:space="preserve">Good Clinical Practice (GCP) Certification, 2022</w:t>
      </w:r>
    </w:p>
    <w:p>
      <w:pPr>
        <w:numPr>
          <w:ilvl w:val="0"/>
          <w:numId w:val="1010"/>
        </w:numPr>
        <w:pStyle w:val="Compact"/>
      </w:pPr>
      <w:r>
        <w:t xml:space="preserve">Data Science and Machine Learning Specialization, Coursera (2021)</w:t>
      </w:r>
    </w:p>
    <w:p>
      <w:pPr>
        <w:numPr>
          <w:ilvl w:val="0"/>
          <w:numId w:val="1010"/>
        </w:numPr>
        <w:pStyle w:val="Compact"/>
      </w:pPr>
      <w:r>
        <w:t xml:space="preserve">Laboratory Safety Training, Australian Institute of Health and Welfare (AIHW), 2019</w:t>
      </w:r>
    </w:p>
    <w:bookmarkEnd w:id="33"/>
    <w:bookmarkStart w:id="34" w:name="additional-information"/>
    <w:p>
      <w:pPr>
        <w:pStyle w:val="Heading3"/>
      </w:pPr>
      <w:r>
        <w:t xml:space="preserve">Additional Information</w:t>
      </w:r>
    </w:p>
    <w:p>
      <w:pPr>
        <w:pStyle w:val="FirstParagraph"/>
      </w:pPr>
      <w:r>
        <w:rPr>
          <w:bCs/>
          <w:b/>
        </w:rPr>
        <w:t xml:space="preserve">Language:</w:t>
      </w:r>
      <w:r>
        <w:t xml:space="preserve"> </w:t>
      </w:r>
      <w:r>
        <w:t xml:space="preserve">English (native), Spanish (basic)</w:t>
      </w:r>
    </w:p>
    <w:p>
      <w:pPr>
        <w:pStyle w:val="BodyText"/>
      </w:pPr>
      <w:r>
        <w:rPr>
          <w:bCs/>
          <w:b/>
        </w:rPr>
        <w:t xml:space="preserve">Hobbies:</w:t>
      </w:r>
      <w:r>
        <w:t xml:space="preserve"> </w:t>
      </w:r>
      <w:r>
        <w:t xml:space="preserve">Marathon running, science communication, mentoring young researchers in Australia Sydney.</w:t>
      </w:r>
    </w:p>
    <w:bookmarkEnd w:id="34"/>
    <w:p>
      <w:pPr>
        <w:pStyle w:val="BodyText"/>
      </w:pPr>
      <w:r>
        <w:t xml:space="preserve">This Curriculum Vitae is tailored for a Medical Researcher position in Australia Sydney. It highlights extensive experience, technical expertise, and a commitment to advancing healthcare through innovative research.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2025-12-10T12:15:36Z</dcterms:created>
  <dcterms:modified xsi:type="dcterms:W3CDTF">2025-12-10T12:15:36Z</dcterms:modified>
</cp:coreProperties>
</file>

<file path=docProps/custom.xml><?xml version="1.0" encoding="utf-8"?>
<Properties xmlns="http://schemas.openxmlformats.org/officeDocument/2006/custom-properties" xmlns:vt="http://schemas.openxmlformats.org/officeDocument/2006/docPropsVTypes"/>
</file>