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ophthalmologist-in-australia-melbourne"/>
    <w:p>
      <w:pPr>
        <w:pStyle w:val="Heading2"/>
      </w:pPr>
      <w:r>
        <w:t xml:space="preserve">Ophthalmologist in Australia Melbourne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emily.johnson@ophthalmology.com.au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Fitzroy Street, Melbourne, Victoria, Australia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AHPRA-987654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Ophthalmologist with over 12 years of experience in Australia Melbourne, specializing in comprehensive eye care, cataract surgery, glaucoma management, and refractive procedures. A committed member of the Australian medical community, focused on delivering patient-centered care while advancing clinical excellence. Recognized for leadership in ophthalmic research and education within Australia Melbourne’s healthcare framework.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- University of Melbourne, Australia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Clinical Medicine in Ophthalmology</w:t>
      </w:r>
      <w:r>
        <w:t xml:space="preserve"> </w:t>
      </w:r>
      <w:r>
        <w:t xml:space="preserve">- Royal Australian and New Zealand College of Ophthalmologists (RANZCO), Melbourne, Australia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Cataract and Refractive Surgery</w:t>
      </w:r>
      <w:r>
        <w:t xml:space="preserve"> </w:t>
      </w:r>
      <w:r>
        <w:t xml:space="preserve">- Melbourne Eye Institute, Australia (2014–2016)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Ophthalmologist</w:t>
      </w:r>
      <w:r>
        <w:br/>
      </w:r>
      <w:r>
        <w:t xml:space="preserve">Melbourne Eye Specialists, 123 Bourke Street, Melbourne, Australia (2017–Present)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care to over 500 patients annually in Australia Melbourne, managing conditions such as diabetic retinopathy, macular degeneration, and corneal diseases.</w:t>
      </w:r>
    </w:p>
    <w:p>
      <w:pPr>
        <w:numPr>
          <w:ilvl w:val="0"/>
          <w:numId w:val="1002"/>
        </w:numPr>
        <w:pStyle w:val="Compact"/>
      </w:pPr>
      <w:r>
        <w:t xml:space="preserve">Specialized in advanced cataract surgery using femtosecond laser technology and conducted over 300 refractive procedures (LASIK/SMILE)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plans, ensuring optimal patient outcomes in line with Australian medical standards.</w:t>
      </w:r>
    </w:p>
    <w:p>
      <w:pPr>
        <w:numPr>
          <w:ilvl w:val="0"/>
          <w:numId w:val="1002"/>
        </w:numPr>
        <w:pStyle w:val="Compact"/>
      </w:pPr>
      <w:r>
        <w:t xml:space="preserve">Acted as a clinical supervisor for 15+ junior ophthalmologists and medical students in Australia Melbourne, fostering excellence in postgraduate training.</w:t>
      </w:r>
    </w:p>
    <w:p>
      <w:pPr>
        <w:pStyle w:val="FirstParagraph"/>
      </w:pPr>
      <w:r>
        <w:rPr>
          <w:bCs/>
          <w:b/>
        </w:rPr>
        <w:t xml:space="preserve">Senior Ophthalmologist</w:t>
      </w:r>
      <w:r>
        <w:br/>
      </w:r>
      <w:r>
        <w:t xml:space="preserve">St. Vincent’s Hospital, Fitzroy, Melbourne, Australia (2013–2017)</w:t>
      </w:r>
    </w:p>
    <w:p>
      <w:pPr>
        <w:numPr>
          <w:ilvl w:val="0"/>
          <w:numId w:val="1003"/>
        </w:numPr>
        <w:pStyle w:val="Compact"/>
      </w:pPr>
      <w:r>
        <w:t xml:space="preserve">Managed a high-volume outpatient clinic in Australia Melbourne, diagnosing and treating complex ocular conditions with precision.</w:t>
      </w:r>
    </w:p>
    <w:p>
      <w:pPr>
        <w:numPr>
          <w:ilvl w:val="0"/>
          <w:numId w:val="1003"/>
        </w:numPr>
        <w:pStyle w:val="Compact"/>
      </w:pPr>
      <w:r>
        <w:t xml:space="preserve">Conducted research on glaucoma progression and published findings in the Australian Journal of Ophthalmology (2015).</w:t>
      </w:r>
    </w:p>
    <w:p>
      <w:pPr>
        <w:numPr>
          <w:ilvl w:val="0"/>
          <w:numId w:val="1003"/>
        </w:numPr>
        <w:pStyle w:val="Compact"/>
      </w:pPr>
      <w:r>
        <w:t xml:space="preserve">Played a key role in implementing new diagnostic technologies, such as OCT (Optical Coherence Tomography), to improve early detection of retinal diseases.</w:t>
      </w:r>
    </w:p>
    <w:p>
      <w:pPr>
        <w:numPr>
          <w:ilvl w:val="0"/>
          <w:numId w:val="1003"/>
        </w:numPr>
        <w:pStyle w:val="Compact"/>
      </w:pPr>
      <w:r>
        <w:t xml:space="preserve">Volunteered for free eye screenings during national health campaigns in Australia Melbourne, reaching over 2,000 underserved individuals.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cataract and refractive surgery (LASIK/SMILE)</w:t>
      </w:r>
    </w:p>
    <w:p>
      <w:pPr>
        <w:numPr>
          <w:ilvl w:val="0"/>
          <w:numId w:val="1004"/>
        </w:numPr>
        <w:pStyle w:val="Compact"/>
      </w:pPr>
      <w:r>
        <w:t xml:space="preserve">Proficient in managing glaucoma, diabetic eye disease, and macular degeneration</w:t>
      </w:r>
    </w:p>
    <w:p>
      <w:pPr>
        <w:numPr>
          <w:ilvl w:val="0"/>
          <w:numId w:val="1004"/>
        </w:numPr>
        <w:pStyle w:val="Compact"/>
      </w:pPr>
      <w:r>
        <w:t xml:space="preserve">Australian Medical Council (AMC) certified with AHPRA registration</w:t>
      </w:r>
    </w:p>
    <w:p>
      <w:pPr>
        <w:numPr>
          <w:ilvl w:val="0"/>
          <w:numId w:val="1004"/>
        </w:numPr>
        <w:pStyle w:val="Compact"/>
      </w:pPr>
      <w:r>
        <w:t xml:space="preserve">Fluency in English and basic knowledge of Mandarin for multicultural patient care in Australia Melbourne</w:t>
      </w:r>
    </w:p>
    <w:p>
      <w:pPr>
        <w:numPr>
          <w:ilvl w:val="0"/>
          <w:numId w:val="1004"/>
        </w:numPr>
        <w:pStyle w:val="Compact"/>
      </w:pPr>
      <w:r>
        <w:t xml:space="preserve">Strong leadership and communication skills, tailored to Australia’s diverse healthcare environment</w:t>
      </w:r>
    </w:p>
    <w:bookmarkEnd w:id="24"/>
    <w:bookmarkStart w:id="25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Health Practitioner Regulation Agency (AHPRA) Registration</w:t>
      </w:r>
      <w:r>
        <w:t xml:space="preserve"> </w:t>
      </w:r>
      <w:r>
        <w:t xml:space="preserve">- 2010–Present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Royal Australian and New Zealand College of Ophthalmologists (FRANZCO)</w:t>
      </w:r>
      <w:r>
        <w:t xml:space="preserve"> </w:t>
      </w:r>
      <w:r>
        <w:t xml:space="preserve">- 2014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Cataract Surgery Certification</w:t>
      </w:r>
      <w:r>
        <w:t xml:space="preserve"> </w:t>
      </w:r>
      <w:r>
        <w:t xml:space="preserve">- Australian Society of Cataract and Refractive Surgery (ASCRS),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Ophthalmic Ultrasound Training</w:t>
      </w:r>
      <w:r>
        <w:t xml:space="preserve"> </w:t>
      </w:r>
      <w:r>
        <w:t xml:space="preserve">- University of Sydney, Australia (2018)</w:t>
      </w:r>
    </w:p>
    <w:bookmarkEnd w:id="25"/>
    <w:bookmarkStart w:id="26" w:name="research-publications"/>
    <w:p>
      <w:pPr>
        <w:pStyle w:val="Heading3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"Innovations in Cataract Surgery: A 5-Year Retrospective Study in Australia Melbourne"</w:t>
      </w:r>
      <w:r>
        <w:t xml:space="preserve"> </w:t>
      </w:r>
      <w:r>
        <w:t xml:space="preserve">- Co-authored with Dr. Sarah Williams, published in *Ophthalmic Research* (2020).</w:t>
      </w:r>
    </w:p>
    <w:p>
      <w:pPr>
        <w:pStyle w:val="BodyText"/>
      </w:pPr>
      <w:r>
        <w:rPr>
          <w:bCs/>
          <w:b/>
        </w:rPr>
        <w:t xml:space="preserve">"Early Detection of Diabetic Retinopathy Using AI-Based Imaging"</w:t>
      </w:r>
      <w:r>
        <w:t xml:space="preserve"> </w:t>
      </w:r>
      <w:r>
        <w:t xml:space="preserve">- Presented at the Australian Ophthalmological Society Annual Conference, Melbourne (2019).</w:t>
      </w:r>
    </w:p>
    <w:p>
      <w:pPr>
        <w:pStyle w:val="BodyText"/>
      </w:pPr>
      <w:r>
        <w:rPr>
          <w:bCs/>
          <w:b/>
        </w:rPr>
        <w:t xml:space="preserve">"Comparative Outcomes of SMILE vs. LASIK in High Myopia Patients"</w:t>
      </w:r>
      <w:r>
        <w:t xml:space="preserve"> </w:t>
      </w:r>
      <w:r>
        <w:t xml:space="preserve">- Published in *Clinical Ophthalmology* (2018).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Australian Ophthalmological Society (AOS) – Member since 2015</w:t>
      </w:r>
    </w:p>
    <w:p>
      <w:pPr>
        <w:numPr>
          <w:ilvl w:val="0"/>
          <w:numId w:val="1006"/>
        </w:numPr>
        <w:pStyle w:val="Compact"/>
      </w:pPr>
      <w:r>
        <w:t xml:space="preserve">Royal Australian and New Zealand College of Ophthalmologists (RANZCO) – Fellow since 2014</w:t>
      </w:r>
    </w:p>
    <w:p>
      <w:pPr>
        <w:numPr>
          <w:ilvl w:val="0"/>
          <w:numId w:val="1006"/>
        </w:numPr>
        <w:pStyle w:val="Compact"/>
      </w:pPr>
      <w:r>
        <w:t xml:space="preserve">International Council of Ophthalmology (ICO) – Member since 2017</w:t>
      </w:r>
    </w:p>
    <w:p>
      <w:pPr>
        <w:numPr>
          <w:ilvl w:val="0"/>
          <w:numId w:val="1006"/>
        </w:numPr>
        <w:pStyle w:val="Compact"/>
      </w:pPr>
      <w:r>
        <w:t xml:space="preserve">Committee Member, Melbourne Eye Health Innovation Forum (2019–Present)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Mandarin (Basic Conversational)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Dr. Emily Johnson at emily.johnson@ophthalmology.com.au.</w:t>
      </w:r>
    </w:p>
    <w:bookmarkEnd w:id="29"/>
    <w:p>
      <w:pPr>
        <w:pStyle w:val="BodyText"/>
      </w:pPr>
      <w:r>
        <w:t xml:space="preserve">This Curriculum Vitae is tailored for an Ophthalmologist in Australia Melbourne, emphasizing clinical expertise, research contributions, and alignment with Australian healthcare standards.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</dc:title>
  <dc:creator/>
  <dc:language>en</dc:language>
  <cp:keywords/>
  <dcterms:created xsi:type="dcterms:W3CDTF">2026-07-21T14:07:32Z</dcterms:created>
  <dcterms:modified xsi:type="dcterms:W3CDTF">2026-07-21T14:07:32Z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