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1d0d7c532cef0748fe8058d309ef0204b4c8bd1"/>
    <w:p>
      <w:pPr>
        <w:pStyle w:val="Heading1"/>
      </w:pPr>
      <w:r>
        <w:t xml:space="preserve">The Evolution and Significance of the Academic Researcher in Australia Melbourne</w:t>
      </w:r>
    </w:p>
    <w:p>
      <w:pPr>
        <w:pStyle w:val="FirstParagraph"/>
      </w:pPr>
      <w:r>
        <w:t xml:space="preserve">This dissertation examines the multifaceted role of the</w:t>
      </w:r>
      <w:r>
        <w:t xml:space="preserve"> </w:t>
      </w:r>
      <w:r>
        <w:rPr>
          <w:bCs/>
          <w:b/>
        </w:rPr>
        <w:t xml:space="preserve">Academic Researcher</w:t>
      </w:r>
      <w:r>
        <w:t xml:space="preserve"> </w:t>
      </w:r>
      <w:r>
        <w:t xml:space="preserve">within Australia's premier research ecosystem, with particular focus on Melbourne as a global academic hub. As a cornerstone of higher education and innovation, the journey of an</w:t>
      </w:r>
      <w:r>
        <w:t xml:space="preserve"> </w:t>
      </w:r>
      <w:r>
        <w:rPr>
          <w:iCs/>
          <w:i/>
        </w:rPr>
        <w:t xml:space="preserve">Academic Researcher</w:t>
      </w:r>
      <w:r>
        <w:t xml:space="preserve"> </w:t>
      </w:r>
      <w:r>
        <w:t xml:space="preserve">in</w:t>
      </w:r>
      <w:r>
        <w:t xml:space="preserve"> </w:t>
      </w:r>
      <w:r>
        <w:rPr>
          <w:bCs/>
          <w:b/>
        </w:rPr>
        <w:t xml:space="preserve">Australia Melbourne</w:t>
      </w:r>
      <w:r>
        <w:t xml:space="preserve"> </w:t>
      </w:r>
      <w:r>
        <w:t xml:space="preserve">represents a dynamic convergence of intellectual rigor, institutional support, and societal impact that defines contemporary scholarly excellence.</w:t>
      </w:r>
    </w:p>
    <w:bookmarkStart w:id="20" w:name="Xa9a8702ed3f36dfaedddf228251f35651ff21b9"/>
    <w:p>
      <w:pPr>
        <w:pStyle w:val="Heading2"/>
      </w:pPr>
      <w:r>
        <w:t xml:space="preserve">The Academic Researcher: Defining the Modern Scholar</w:t>
      </w:r>
    </w:p>
    <w:p>
      <w:pPr>
        <w:pStyle w:val="FirstParagraph"/>
      </w:pPr>
      <w:r>
        <w:t xml:space="preserve">The contemporary</w:t>
      </w:r>
      <w:r>
        <w:t xml:space="preserve"> </w:t>
      </w:r>
      <w:r>
        <w:rPr>
          <w:bCs/>
          <w:b/>
        </w:rPr>
        <w:t xml:space="preserve">Academic Researcher</w:t>
      </w:r>
      <w:r>
        <w:t xml:space="preserve"> </w:t>
      </w:r>
      <w:r>
        <w:t xml:space="preserve">transcends traditional disciplinary boundaries to become a catalyst for transformative knowledge creation. In Australia Melbourne, this role manifests through rigorous methodology, interdisciplinary collaboration, and community engagement. Unlike conventional teaching-focused academics, the</w:t>
      </w:r>
      <w:r>
        <w:t xml:space="preserve"> </w:t>
      </w:r>
      <w:r>
        <w:rPr>
          <w:iCs/>
          <w:i/>
        </w:rPr>
        <w:t xml:space="preserve">Academic Researcher</w:t>
      </w:r>
      <w:r>
        <w:t xml:space="preserve"> </w:t>
      </w:r>
      <w:r>
        <w:t xml:space="preserve">prioritizes original inquiry that addresses complex global challenges—from climate resilience in Southeast Asia to AI ethics frameworks—while navigating the unique Australian research landscape governed by the Excellence in Research for Australia (ERA) framework.</w:t>
      </w:r>
    </w:p>
    <w:p>
      <w:pPr>
        <w:pStyle w:val="BodyText"/>
      </w:pPr>
      <w:r>
        <w:t xml:space="preserve">The Melbourne model exemplifies this evolution: Researchers at institutions like the University of Melbourne and Monash University operate within a "triple helix" environment where teaching, research, and community impact are interwoven. This systemic integration distinguishes the Australian Academic Researcher from purely theoretical counterparts in other global contexts.</w:t>
      </w:r>
    </w:p>
    <w:bookmarkEnd w:id="20"/>
    <w:bookmarkStart w:id="21" w:name="X25e402b7b92c1df811b0493c76e71fda191c0e0"/>
    <w:p>
      <w:pPr>
        <w:pStyle w:val="Heading2"/>
      </w:pPr>
      <w:r>
        <w:t xml:space="preserve">Australia Melbourne: The Epicenter of Research Innovation</w:t>
      </w:r>
    </w:p>
    <w:p>
      <w:pPr>
        <w:pStyle w:val="FirstParagraph"/>
      </w:pPr>
      <w:r>
        <w:t xml:space="preserve">As Australia's second-largest city and cultural capital, Melbourne hosts four of the nation's top five universities (QS World University Rankings 2023), creating an unparalleled concentration of research infrastructure. The city's strategic location within the Indo-Pacific region positions it as a nexus for cross-border collaboration, with 45% of Melbourne-based</w:t>
      </w:r>
      <w:r>
        <w:t xml:space="preserve"> </w:t>
      </w:r>
      <w:r>
        <w:rPr>
          <w:iCs/>
          <w:i/>
        </w:rPr>
        <w:t xml:space="preserve">Academic Researchers</w:t>
      </w:r>
      <w:r>
        <w:t xml:space="preserve"> </w:t>
      </w:r>
      <w:r>
        <w:t xml:space="preserve">engaged in international partnerships (Australian Research Council, 2023). Key assets include:</w:t>
      </w:r>
    </w:p>
    <w:p>
      <w:pPr>
        <w:numPr>
          <w:ilvl w:val="0"/>
          <w:numId w:val="1001"/>
        </w:numPr>
        <w:pStyle w:val="Compact"/>
      </w:pPr>
      <w:r>
        <w:rPr>
          <w:bCs/>
          <w:b/>
        </w:rPr>
        <w:t xml:space="preserve">National Collaborative Research Infrastructure</w:t>
      </w:r>
      <w:r>
        <w:t xml:space="preserve">: Access to facilities like the Australian Synchrotron and Pawsey Supercomputing Centre</w:t>
      </w:r>
    </w:p>
    <w:p>
      <w:pPr>
        <w:numPr>
          <w:ilvl w:val="0"/>
          <w:numId w:val="1001"/>
        </w:numPr>
        <w:pStyle w:val="Compact"/>
      </w:pPr>
      <w:r>
        <w:rPr>
          <w:bCs/>
          <w:b/>
        </w:rPr>
        <w:t xml:space="preserve">Industry-Academia Synergy</w:t>
      </w:r>
      <w:r>
        <w:t xml:space="preserve">: Over 200 industry partnerships across health, advanced manufacturing, and sustainability sectors in Melbourne</w:t>
      </w:r>
    </w:p>
    <w:p>
      <w:pPr>
        <w:numPr>
          <w:ilvl w:val="0"/>
          <w:numId w:val="1001"/>
        </w:numPr>
        <w:pStyle w:val="Compact"/>
      </w:pPr>
      <w:r>
        <w:rPr>
          <w:bCs/>
          <w:b/>
        </w:rPr>
        <w:t xml:space="preserve">Government Research Funding Ecosystem</w:t>
      </w:r>
      <w:r>
        <w:t xml:space="preserve">: Strong support through NHMRC, ARC Discovery Projects, and state-level initiatives like VicHealth grants</w:t>
      </w:r>
    </w:p>
    <w:p>
      <w:pPr>
        <w:pStyle w:val="FirstParagraph"/>
      </w:pPr>
      <w:r>
        <w:t xml:space="preserve">The city's distinctive "Research Triangle" (comprising the University of Melbourne, Monash University, and RMIT) fosters unprecedented cross-institutional collaboration. A 2022 study by the Melbourne Institute revealed that 78% of high-impact publications from this region stemmed from multi-university teams—a statistic emblematic of Melbourne's research culture.</w:t>
      </w:r>
    </w:p>
    <w:bookmarkEnd w:id="21"/>
    <w:bookmarkStart w:id="22" w:name="X32025c5820265dd9a264ff696f734f1133775da"/>
    <w:p>
      <w:pPr>
        <w:pStyle w:val="Heading2"/>
      </w:pPr>
      <w:r>
        <w:t xml:space="preserve">The Dissertation as Intellectual Catalyst</w:t>
      </w:r>
    </w:p>
    <w:p>
      <w:pPr>
        <w:pStyle w:val="FirstParagraph"/>
      </w:pPr>
      <w:r>
        <w:t xml:space="preserve">For every emerging</w:t>
      </w:r>
      <w:r>
        <w:t xml:space="preserve"> </w:t>
      </w:r>
      <w:r>
        <w:rPr>
          <w:bCs/>
          <w:b/>
        </w:rPr>
        <w:t xml:space="preserve">Academic Researcher</w:t>
      </w:r>
      <w:r>
        <w:t xml:space="preserve"> </w:t>
      </w:r>
      <w:r>
        <w:t xml:space="preserve">in Australia Melbourne, the dissertation represents both a rite of passage and a professional foundation. Unlike many global counterparts, the Australian doctoral experience emphasizes "research for impact," where dissertations are expected to address real-world challenges relevant to Australian contexts. This manifests through:</w:t>
      </w:r>
    </w:p>
    <w:p>
      <w:pPr>
        <w:numPr>
          <w:ilvl w:val="0"/>
          <w:numId w:val="1002"/>
        </w:numPr>
        <w:pStyle w:val="Compact"/>
      </w:pPr>
      <w:r>
        <w:rPr>
          <w:bCs/>
          <w:b/>
        </w:rPr>
        <w:t xml:space="preserve">Community Engagement Requirements</w:t>
      </w:r>
      <w:r>
        <w:t xml:space="preserve">: Dissertations must include pathways for knowledge translation (e.g., policy briefs, industry prototypes)</w:t>
      </w:r>
    </w:p>
    <w:p>
      <w:pPr>
        <w:numPr>
          <w:ilvl w:val="0"/>
          <w:numId w:val="1002"/>
        </w:numPr>
        <w:pStyle w:val="Compact"/>
      </w:pPr>
      <w:r>
        <w:rPr>
          <w:bCs/>
          <w:b/>
        </w:rPr>
        <w:t xml:space="preserve">Interdisciplinary Methodologies</w:t>
      </w:r>
      <w:r>
        <w:t xml:space="preserve">: Increasingly common in Melbourne projects merging data science with Indigenous knowledge systems</w:t>
      </w:r>
    </w:p>
    <w:p>
      <w:pPr>
        <w:numPr>
          <w:ilvl w:val="0"/>
          <w:numId w:val="1002"/>
        </w:numPr>
        <w:pStyle w:val="Compact"/>
      </w:pPr>
      <w:r>
        <w:rPr>
          <w:bCs/>
          <w:b/>
        </w:rPr>
        <w:t xml:space="preserve">Multilingual Dissemination</w:t>
      </w:r>
      <w:r>
        <w:t xml:space="preserve">: Growing expectation to share findings beyond academia through community workshops and social media campaigns</w:t>
      </w:r>
    </w:p>
    <w:p>
      <w:pPr>
        <w:pStyle w:val="FirstParagraph"/>
      </w:pPr>
      <w:r>
        <w:t xml:space="preserve">Consider Dr. Ananya Sharma's 2023 University of Melbourne dissertation on "Indigenous Water Governance Systems in Victorian Catchments" – this work directly informed Victoria's 2024 Water Strategy, demonstrating how a single dissertation can catalyze policy change within</w:t>
      </w:r>
      <w:r>
        <w:t xml:space="preserve"> </w:t>
      </w:r>
      <w:r>
        <w:rPr>
          <w:bCs/>
          <w:b/>
        </w:rPr>
        <w:t xml:space="preserve">Australia Melbourne</w:t>
      </w:r>
      <w:r>
        <w:t xml:space="preserve">'s unique socio-ecological context.</w:t>
      </w:r>
    </w:p>
    <w:bookmarkEnd w:id="22"/>
    <w:bookmarkStart w:id="23" w:name="challenges-and-strategic-adaptations"/>
    <w:p>
      <w:pPr>
        <w:pStyle w:val="Heading2"/>
      </w:pPr>
      <w:r>
        <w:t xml:space="preserve">Challenges and Strategic Adaptations</w:t>
      </w:r>
    </w:p>
    <w:p>
      <w:pPr>
        <w:pStyle w:val="FirstParagraph"/>
      </w:pPr>
      <w:r>
        <w:t xml:space="preserve">Despite its strengths, the Australian academic research landscape presents distinct challenges for researchers in Melbourne:</w:t>
      </w:r>
    </w:p>
    <w:p>
      <w:pPr>
        <w:numPr>
          <w:ilvl w:val="0"/>
          <w:numId w:val="1003"/>
        </w:numPr>
        <w:pStyle w:val="Compact"/>
      </w:pPr>
      <w:r>
        <w:rPr>
          <w:bCs/>
          <w:b/>
        </w:rPr>
        <w:t xml:space="preserve">Funding Volatility</w:t>
      </w:r>
      <w:r>
        <w:t xml:space="preserve">: 63% of early-career researchers report anxiety about project continuity (National Research and Development Survey, 2023)</w:t>
      </w:r>
    </w:p>
    <w:p>
      <w:pPr>
        <w:numPr>
          <w:ilvl w:val="0"/>
          <w:numId w:val="1003"/>
        </w:numPr>
        <w:pStyle w:val="Compact"/>
      </w:pPr>
      <w:r>
        <w:rPr>
          <w:bCs/>
          <w:b/>
        </w:rPr>
        <w:t xml:space="preserve">Work-Life Integration</w:t>
      </w:r>
      <w:r>
        <w:t xml:space="preserve">: The "always-on" culture versus Melbourne's strong emphasis on work-life balance (e.g., flexible hours in public sector universities)</w:t>
      </w:r>
    </w:p>
    <w:p>
      <w:pPr>
        <w:numPr>
          <w:ilvl w:val="0"/>
          <w:numId w:val="1003"/>
        </w:numPr>
        <w:pStyle w:val="Compact"/>
      </w:pPr>
      <w:r>
        <w:rPr>
          <w:bCs/>
          <w:b/>
        </w:rPr>
        <w:t xml:space="preserve">Cultural Navigation</w:t>
      </w:r>
      <w:r>
        <w:t xml:space="preserve">: For international researchers, bridging Western research paradigms with Aboriginal and Torres Strait Islander knowledge systems</w:t>
      </w:r>
    </w:p>
    <w:p>
      <w:pPr>
        <w:pStyle w:val="FirstParagraph"/>
      </w:pPr>
      <w:r>
        <w:t xml:space="preserve">Melbourne institutions are responding through initiatives like the "Researcher Wellbeing Framework" at Deakin University and the Monash Research Accelerator Program. These programs explicitly address how to sustain a</w:t>
      </w:r>
      <w:r>
        <w:t xml:space="preserve"> </w:t>
      </w:r>
      <w:r>
        <w:rPr>
          <w:iCs/>
          <w:i/>
        </w:rPr>
        <w:t xml:space="preserve">Academic Researcher</w:t>
      </w:r>
      <w:r>
        <w:t xml:space="preserve">'s productivity while aligning with Australia's cultural values of egalitarianism and community focus.</w:t>
      </w:r>
    </w:p>
    <w:bookmarkEnd w:id="23"/>
    <w:bookmarkStart w:id="24" w:name="X3a6dc8e5fe2d517c8d5e4b99be51baf5a2a6276"/>
    <w:p>
      <w:pPr>
        <w:pStyle w:val="Heading2"/>
      </w:pPr>
      <w:r>
        <w:t xml:space="preserve">The Future Trajectory: Melbourne as Global Benchmark</w:t>
      </w:r>
    </w:p>
    <w:p>
      <w:pPr>
        <w:pStyle w:val="FirstParagraph"/>
      </w:pPr>
      <w:r>
        <w:t xml:space="preserve">As Australia positions itself as an "innovation nation" through the National Innovation and Science Agenda, Melbourne is emerging as a global benchmark for research excellence. The 2030 Vision for Australian Research highlights three critical shifts that will define the next generation of</w:t>
      </w:r>
      <w:r>
        <w:t xml:space="preserve"> </w:t>
      </w:r>
      <w:r>
        <w:rPr>
          <w:bCs/>
          <w:b/>
        </w:rPr>
        <w:t xml:space="preserve">Academic Researchers</w:t>
      </w:r>
      <w:r>
        <w:t xml:space="preserve">:</w:t>
      </w:r>
    </w:p>
    <w:p>
      <w:pPr>
        <w:numPr>
          <w:ilvl w:val="0"/>
          <w:numId w:val="1004"/>
        </w:numPr>
        <w:pStyle w:val="Compact"/>
      </w:pPr>
      <w:r>
        <w:rPr>
          <w:bCs/>
          <w:b/>
        </w:rPr>
        <w:t xml:space="preserve">Decolonized Knowledge Production</w:t>
      </w:r>
      <w:r>
        <w:t xml:space="preserve">: Integrating Indigenous epistemologies as equal partners in research design (e.g., University of Melbourne's Aboriginal and Torres Strait Islander Research Strategy)</w:t>
      </w:r>
    </w:p>
    <w:p>
      <w:pPr>
        <w:numPr>
          <w:ilvl w:val="0"/>
          <w:numId w:val="1004"/>
        </w:numPr>
        <w:pStyle w:val="Compact"/>
      </w:pPr>
      <w:r>
        <w:rPr>
          <w:bCs/>
          <w:b/>
        </w:rPr>
        <w:t xml:space="preserve">Sustainability-Embedded Inquiry</w:t>
      </w:r>
      <w:r>
        <w:t xml:space="preserve">: All new research projects must undergo environmental impact assessment by 2027, a policy pioneered in Melbourne</w:t>
      </w:r>
    </w:p>
    <w:p>
      <w:pPr>
        <w:numPr>
          <w:ilvl w:val="0"/>
          <w:numId w:val="1004"/>
        </w:numPr>
        <w:pStyle w:val="Compact"/>
      </w:pPr>
      <w:r>
        <w:rPr>
          <w:bCs/>
          <w:b/>
        </w:rPr>
        <w:t xml:space="preserve">AI-Augmented Scholarship</w:t>
      </w:r>
      <w:r>
        <w:t xml:space="preserve">: Use of generative AI for literature review and data analysis, with strict ethical protocols developed through Melbourne's AI Ethics Network</w:t>
      </w:r>
    </w:p>
    <w:p>
      <w:pPr>
        <w:pStyle w:val="FirstParagraph"/>
      </w:pPr>
      <w:r>
        <w:t xml:space="preserve">The trajectory suggests that the Australian Academic Researcher will increasingly function as a "boundary-spanning facilitator"—not merely producing knowledge but enabling its co-creation with communities, industries, and policymakers. In Melbourne's context, this evolution is accelerated by the city's status as a UNESCO City of Literature and Design, fostering creative research methodologies absent in more traditional academic centers.</w:t>
      </w:r>
    </w:p>
    <w:bookmarkEnd w:id="24"/>
    <w:bookmarkStart w:id="25" w:name="conclusion-the-enduring-significance"/>
    <w:p>
      <w:pPr>
        <w:pStyle w:val="Heading2"/>
      </w:pPr>
      <w:r>
        <w:t xml:space="preserve">Conclusion: The Enduring Significance</w:t>
      </w:r>
    </w:p>
    <w:p>
      <w:pPr>
        <w:pStyle w:val="FirstParagraph"/>
      </w:pPr>
      <w:r>
        <w:t xml:space="preserve">This dissertation underscores that the role of an Academic Researcher in Australia Melbourne has evolved from solitary scholar to strategic ecosystem partner. The city's research environment—characterized by its institutional density, cultural diversity, and policy innovation—creates a uniquely fertile ground for scholars who view their work as inseparable from societal progress. As Professor Ian McCallum (University of Melbourne) asserts: "Melbourne doesn't just host researchers; it shapes them to think in interconnected systems where the dissertation is merely the first step toward lasting change." For aspiring</w:t>
      </w:r>
      <w:r>
        <w:t xml:space="preserve"> </w:t>
      </w:r>
      <w:r>
        <w:rPr>
          <w:iCs/>
          <w:i/>
        </w:rPr>
        <w:t xml:space="preserve">Academic Researchers</w:t>
      </w:r>
      <w:r>
        <w:t xml:space="preserve">, Australia Melbourne offers not just a workplace, but a living laboratory for reimagining how knowledge serves humanity. The true measure of success will no longer be confined to journal publications, but to tangible improvements in communities across Victoria and beyond—proving that the modern dissertation is both an academic milestone and a catalyst for tomorrow's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Australia Melbourne Context</dc:title>
  <dc:creator/>
  <dc:language>en</dc:language>
  <cp:keywords/>
  <dcterms:created xsi:type="dcterms:W3CDTF">2026-07-19T02:23:29Z</dcterms:created>
  <dcterms:modified xsi:type="dcterms:W3CDTF">2026-07-19T02:23:29Z</dcterms:modified>
</cp:coreProperties>
</file>

<file path=docProps/custom.xml><?xml version="1.0" encoding="utf-8"?>
<Properties xmlns="http://schemas.openxmlformats.org/officeDocument/2006/custom-properties" xmlns:vt="http://schemas.openxmlformats.org/officeDocument/2006/docPropsVTypes"/>
</file>