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Tashkent,</w:t>
      </w:r>
      <w:r>
        <w:t xml:space="preserve"> </w:t>
      </w:r>
      <w:r>
        <w:t xml:space="preserve">Uzbekistan</w:t>
      </w:r>
    </w:p>
    <w:bookmarkStart w:id="25" w:name="X2bd3411c4cde5a6cfd664c273675c2c2eb3b295"/>
    <w:p>
      <w:pPr>
        <w:pStyle w:val="Heading1"/>
      </w:pPr>
      <w:r>
        <w:t xml:space="preserve">The Vital Role and Evolving Landscape of the Academic Researcher in Uzbekistan Tashkent: A Dissertation Perspective</w:t>
      </w:r>
    </w:p>
    <w:p>
      <w:pPr>
        <w:pStyle w:val="FirstParagraph"/>
      </w:pPr>
      <w:r>
        <w:rPr>
          <w:bCs/>
          <w:b/>
        </w:rPr>
        <w:t xml:space="preserve">Dissertation</w:t>
      </w:r>
      <w:r>
        <w:t xml:space="preserve"> </w:t>
      </w:r>
      <w:r>
        <w:t xml:space="preserve">writing represents a cornerstone of advanced academic achievement, demanding rigorous scholarship, original contribution to knowledge, and deep engagement with a specific field. Within the dynamic context of modern higher education in</w:t>
      </w:r>
      <w:r>
        <w:t xml:space="preserve"> </w:t>
      </w:r>
      <w:r>
        <w:rPr>
          <w:bCs/>
          <w:b/>
        </w:rPr>
        <w:t xml:space="preserve">Uzbekistan Tashkent</w:t>
      </w:r>
      <w:r>
        <w:t xml:space="preserve">, the role of the</w:t>
      </w:r>
      <w:r>
        <w:t xml:space="preserve"> </w:t>
      </w:r>
      <w:r>
        <w:rPr>
          <w:bCs/>
          <w:b/>
        </w:rPr>
        <w:t xml:space="preserve">Academic Researcher</w:t>
      </w:r>
      <w:r>
        <w:t xml:space="preserve"> </w:t>
      </w:r>
      <w:r>
        <w:t xml:space="preserve">has become increasingly pivotal in driving national development goals and aligning with global academic standards. This document explores the significance, challenges, and future trajectory of</w:t>
      </w:r>
      <w:r>
        <w:t xml:space="preserve"> </w:t>
      </w:r>
      <w:r>
        <w:rPr>
          <w:bCs/>
          <w:b/>
        </w:rPr>
        <w:t xml:space="preserve">Academic Researchers</w:t>
      </w:r>
      <w:r>
        <w:t xml:space="preserve"> </w:t>
      </w:r>
      <w:r>
        <w:t xml:space="preserve">within the premier educational hub of Tashkent, highlighting why their work is indispensable for</w:t>
      </w:r>
      <w:r>
        <w:t xml:space="preserve"> </w:t>
      </w:r>
      <w:r>
        <w:rPr>
          <w:bCs/>
          <w:b/>
        </w:rPr>
        <w:t xml:space="preserve">Uzbekistan</w:t>
      </w:r>
      <w:r>
        <w:t xml:space="preserve">'s intellectual and economic progress.</w:t>
      </w:r>
    </w:p>
    <w:bookmarkStart w:id="20" w:name="X8974b65702ea30b14ecc9689e3eed024f71c118"/>
    <w:p>
      <w:pPr>
        <w:pStyle w:val="Heading2"/>
      </w:pPr>
      <w:r>
        <w:t xml:space="preserve">The Imperative of High-Quality Academic Research in Tashkent</w:t>
      </w:r>
    </w:p>
    <w:p>
      <w:pPr>
        <w:pStyle w:val="FirstParagraph"/>
      </w:pPr>
      <w:r>
        <w:t xml:space="preserve">Tashkent, as the capital and largest city of</w:t>
      </w:r>
      <w:r>
        <w:t xml:space="preserve"> </w:t>
      </w:r>
      <w:r>
        <w:rPr>
          <w:bCs/>
          <w:b/>
        </w:rPr>
        <w:t xml:space="preserve">Uzbekistan</w:t>
      </w:r>
      <w:r>
        <w:t xml:space="preserve">, hosts the nation's most prestigious universities and research institutions, including the National University of Uzbekistan (NUUz), Tashkent Institute of Economics, and numerous specialized academies. The government's strategic focus on "New Uzbekistan" emphasizes innovation, knowledge-based economic growth, and international academic collaboration. Consequently, the</w:t>
      </w:r>
      <w:r>
        <w:t xml:space="preserve"> </w:t>
      </w:r>
      <w:r>
        <w:rPr>
          <w:bCs/>
          <w:b/>
        </w:rPr>
        <w:t xml:space="preserve">Academic Researcher</w:t>
      </w:r>
      <w:r>
        <w:t xml:space="preserve"> </w:t>
      </w:r>
      <w:r>
        <w:t xml:space="preserve">operating within this ecosystem is no longer merely an ivory-tower scholar but a key agent in translating theoretical knowledge into practical solutions for national challenges – from sustainable agriculture and water resource management to digital transformation and healthcare advancements.</w:t>
      </w:r>
    </w:p>
    <w:p>
      <w:pPr>
        <w:pStyle w:val="BodyText"/>
      </w:pPr>
      <w:r>
        <w:t xml:space="preserve">A successful</w:t>
      </w:r>
      <w:r>
        <w:t xml:space="preserve"> </w:t>
      </w:r>
      <w:r>
        <w:rPr>
          <w:bCs/>
          <w:b/>
        </w:rPr>
        <w:t xml:space="preserve">Dissertation</w:t>
      </w:r>
      <w:r>
        <w:t xml:space="preserve">, the culminating academic work required for doctoral degrees (PhD), embodies this critical role. It demands that the aspiring</w:t>
      </w:r>
      <w:r>
        <w:t xml:space="preserve"> </w:t>
      </w:r>
      <w:r>
        <w:rPr>
          <w:bCs/>
          <w:b/>
        </w:rPr>
        <w:t xml:space="preserve">Academic Researcher</w:t>
      </w:r>
      <w:r>
        <w:t xml:space="preserve"> </w:t>
      </w:r>
      <w:r>
        <w:t xml:space="preserve">in Tashkent demonstrate not only deep expertise but also a clear understanding of how their research addresses specific needs within</w:t>
      </w:r>
      <w:r>
        <w:t xml:space="preserve"> </w:t>
      </w:r>
      <w:r>
        <w:rPr>
          <w:bCs/>
          <w:b/>
        </w:rPr>
        <w:t xml:space="preserve">Uzbekistan</w:t>
      </w:r>
      <w:r>
        <w:t xml:space="preserve">'s socio-economic context. The dissertation process, therefore, is not an abstract exercise; it is intrinsically linked to the nation's development agenda. Research topics are increasingly shaped by national priorities such as the "Strategy for Action in the Republic of Uzbekistan 2023-2027" and the ambitious goal of transitioning towards a knowledge-based society.</w:t>
      </w:r>
    </w:p>
    <w:bookmarkEnd w:id="20"/>
    <w:bookmarkStart w:id="21" w:name="X00867f2bdca2193718d2880811a594a1f09ee27"/>
    <w:p>
      <w:pPr>
        <w:pStyle w:val="Heading2"/>
      </w:pPr>
      <w:r>
        <w:t xml:space="preserve">Challenges Facing Academic Researchers in Tashkent</w:t>
      </w:r>
    </w:p>
    <w:p>
      <w:pPr>
        <w:pStyle w:val="FirstParagraph"/>
      </w:pPr>
      <w:r>
        <w:t xml:space="preserve">Despite the growing importance,</w:t>
      </w:r>
      <w:r>
        <w:t xml:space="preserve"> </w:t>
      </w:r>
      <w:r>
        <w:rPr>
          <w:bCs/>
          <w:b/>
        </w:rPr>
        <w:t xml:space="preserve">Academic Researchers</w:t>
      </w:r>
      <w:r>
        <w:t xml:space="preserve"> </w:t>
      </w:r>
      <w:r>
        <w:t xml:space="preserve">in Tashkent navigate several significant challenges that impact their ability to produce world-class</w:t>
      </w:r>
      <w:r>
        <w:t xml:space="preserve"> </w:t>
      </w:r>
      <w:r>
        <w:rPr>
          <w:bCs/>
          <w:b/>
        </w:rPr>
        <w:t xml:space="preserve">Dissertation</w:t>
      </w:r>
      <w:r>
        <w:t xml:space="preserve">-level work. Key obstacles include:</w:t>
      </w:r>
    </w:p>
    <w:p>
      <w:pPr>
        <w:numPr>
          <w:ilvl w:val="0"/>
          <w:numId w:val="1001"/>
        </w:numPr>
        <w:pStyle w:val="Compact"/>
      </w:pPr>
      <w:r>
        <w:rPr>
          <w:bCs/>
          <w:b/>
        </w:rPr>
        <w:t xml:space="preserve">Funding Constraints:</w:t>
      </w:r>
      <w:r>
        <w:t xml:space="preserve"> </w:t>
      </w:r>
      <w:r>
        <w:t xml:space="preserve">While government investment in research is increasing, access to adequate, stable, and flexible funding for long-term projects remains a persistent hurdle for many researchers compared to international counterparts.</w:t>
      </w:r>
    </w:p>
    <w:p>
      <w:pPr>
        <w:numPr>
          <w:ilvl w:val="0"/>
          <w:numId w:val="1001"/>
        </w:numPr>
        <w:pStyle w:val="Compact"/>
      </w:pPr>
      <w:r>
        <w:rPr>
          <w:bCs/>
          <w:b/>
        </w:rPr>
        <w:t xml:space="preserve">Infrastructure Limitations:</w:t>
      </w:r>
      <w:r>
        <w:t xml:space="preserve"> </w:t>
      </w:r>
      <w:r>
        <w:t xml:space="preserve">Access to cutting-edge laboratories, comprehensive digital libraries (especially subscription-based international journals), and advanced computational resources can be limited within some Tashkent institutions, hampering the scope and quality of research.</w:t>
      </w:r>
    </w:p>
    <w:p>
      <w:pPr>
        <w:numPr>
          <w:ilvl w:val="0"/>
          <w:numId w:val="1001"/>
        </w:numPr>
        <w:pStyle w:val="Compact"/>
      </w:pPr>
      <w:r>
        <w:rPr>
          <w:bCs/>
          <w:b/>
        </w:rPr>
        <w:t xml:space="preserve">International Collaboration Barriers:</w:t>
      </w:r>
      <w:r>
        <w:t xml:space="preserve"> </w:t>
      </w:r>
      <w:r>
        <w:t xml:space="preserve">Navigating visa processes, establishing meaningful partnerships with global institutions, and overcoming language barriers in publishing can slow down the integration of Uzbek researchers into international academic networks.</w:t>
      </w:r>
    </w:p>
    <w:p>
      <w:pPr>
        <w:numPr>
          <w:ilvl w:val="0"/>
          <w:numId w:val="1001"/>
        </w:numPr>
        <w:pStyle w:val="Compact"/>
      </w:pPr>
      <w:r>
        <w:rPr>
          <w:bCs/>
          <w:b/>
        </w:rPr>
        <w:t xml:space="preserve">Academic Culture Evolution:</w:t>
      </w:r>
      <w:r>
        <w:t xml:space="preserve"> </w:t>
      </w:r>
      <w:r>
        <w:t xml:space="preserve">Moving beyond traditional teaching-focused models towards a robust research culture requires systemic changes in institutional priorities, evaluation metrics (shifting from solely teaching load to research output), and mentorship structures within Tashkent's universities.</w:t>
      </w:r>
    </w:p>
    <w:bookmarkEnd w:id="21"/>
    <w:bookmarkStart w:id="22" w:name="the-dissertation-a-catalyst-for-change"/>
    <w:p>
      <w:pPr>
        <w:pStyle w:val="Heading2"/>
      </w:pPr>
      <w:r>
        <w:t xml:space="preserve">The Dissertation: A Catalyst for Change</w:t>
      </w:r>
    </w:p>
    <w:p>
      <w:pPr>
        <w:pStyle w:val="FirstParagraph"/>
      </w:pPr>
      <w:r>
        <w:t xml:space="preserve">For the aspiring</w:t>
      </w:r>
      <w:r>
        <w:t xml:space="preserve"> </w:t>
      </w:r>
      <w:r>
        <w:rPr>
          <w:bCs/>
          <w:b/>
        </w:rPr>
        <w:t xml:space="preserve">Academic Researcher</w:t>
      </w:r>
      <w:r>
        <w:t xml:space="preserve"> </w:t>
      </w:r>
      <w:r>
        <w:t xml:space="preserve">in Tashkent, successfully completing a rigorous and relevant</w:t>
      </w:r>
      <w:r>
        <w:t xml:space="preserve"> </w:t>
      </w:r>
      <w:r>
        <w:rPr>
          <w:bCs/>
          <w:b/>
        </w:rPr>
        <w:t xml:space="preserve">Dissertation</w:t>
      </w:r>
      <w:r>
        <w:t xml:space="preserve"> </w:t>
      </w:r>
      <w:r>
        <w:t xml:space="preserve">is transformative. It serves as:</w:t>
      </w:r>
    </w:p>
    <w:p>
      <w:pPr>
        <w:numPr>
          <w:ilvl w:val="0"/>
          <w:numId w:val="1002"/>
        </w:numPr>
        <w:pStyle w:val="Compact"/>
      </w:pPr>
      <w:r>
        <w:rPr>
          <w:bCs/>
          <w:b/>
        </w:rPr>
        <w:t xml:space="preserve">A Foundation for Expertise:</w:t>
      </w:r>
      <w:r>
        <w:t xml:space="preserve"> </w:t>
      </w:r>
      <w:r>
        <w:t xml:space="preserve">The intensive process of independent research, critical analysis, and scholarly writing hones the core competencies required for a successful career as an Academic Researcher.</w:t>
      </w:r>
    </w:p>
    <w:p>
      <w:pPr>
        <w:numPr>
          <w:ilvl w:val="0"/>
          <w:numId w:val="1002"/>
        </w:numPr>
        <w:pStyle w:val="Compact"/>
      </w:pPr>
      <w:r>
        <w:rPr>
          <w:bCs/>
          <w:b/>
        </w:rPr>
        <w:t xml:space="preserve">An Engine for Innovation:</w:t>
      </w:r>
      <w:r>
        <w:t xml:space="preserve"> </w:t>
      </w:r>
      <w:r>
        <w:t xml:space="preserve">A high-quality dissertation often identifies novel problems or offers innovative solutions applicable to Uzbekistan's context, directly contributing to national knowledge capital. For instance, dissertations on renewable energy integration or AI applications in agriculture are highly relevant to Tashkent-based research priorities.</w:t>
      </w:r>
    </w:p>
    <w:p>
      <w:pPr>
        <w:numPr>
          <w:ilvl w:val="0"/>
          <w:numId w:val="1002"/>
        </w:numPr>
        <w:pStyle w:val="Compact"/>
      </w:pPr>
      <w:r>
        <w:rPr>
          <w:bCs/>
          <w:b/>
        </w:rPr>
        <w:t xml:space="preserve">A Gateway to International Recognition:</w:t>
      </w:r>
      <w:r>
        <w:t xml:space="preserve"> </w:t>
      </w:r>
      <w:r>
        <w:t xml:space="preserve">A well-executed dissertation that meets international standards is the essential first step for an Academic Researcher seeking publication in reputable global journals and participation in international conferences, enhancing Uzbekistan's academic visibility from Tashkent.</w:t>
      </w:r>
    </w:p>
    <w:bookmarkEnd w:id="22"/>
    <w:bookmarkStart w:id="23" w:name="Xd87f3ddc1daa7423703b79132dd17a8b6315cae"/>
    <w:p>
      <w:pPr>
        <w:pStyle w:val="Heading2"/>
      </w:pPr>
      <w:r>
        <w:t xml:space="preserve">Future Trajectory: Strengthening the Academic Researcher Ecosystem in Tashkent</w:t>
      </w:r>
    </w:p>
    <w:p>
      <w:pPr>
        <w:pStyle w:val="FirstParagraph"/>
      </w:pPr>
      <w:r>
        <w:t xml:space="preserve">The future of the</w:t>
      </w:r>
      <w:r>
        <w:t xml:space="preserve"> </w:t>
      </w:r>
      <w:r>
        <w:rPr>
          <w:bCs/>
          <w:b/>
        </w:rPr>
        <w:t xml:space="preserve">Academic Researcher</w:t>
      </w:r>
      <w:r>
        <w:t xml:space="preserve"> </w:t>
      </w:r>
      <w:r>
        <w:t xml:space="preserve">in</w:t>
      </w:r>
      <w:r>
        <w:t xml:space="preserve"> </w:t>
      </w:r>
      <w:r>
        <w:rPr>
          <w:bCs/>
          <w:b/>
        </w:rPr>
        <w:t xml:space="preserve">Uzbekistan Tashkent</w:t>
      </w:r>
      <w:r>
        <w:t xml:space="preserve"> </w:t>
      </w:r>
      <w:r>
        <w:t xml:space="preserve">is intrinsically linked to strategic investments and systemic reforms. Key areas for development include:</w:t>
      </w:r>
    </w:p>
    <w:p>
      <w:pPr>
        <w:numPr>
          <w:ilvl w:val="0"/>
          <w:numId w:val="1003"/>
        </w:numPr>
        <w:pStyle w:val="Compact"/>
      </w:pPr>
      <w:r>
        <w:rPr>
          <w:bCs/>
          <w:b/>
        </w:rPr>
        <w:t xml:space="preserve">Enhanced Funding Mechanisms:</w:t>
      </w:r>
      <w:r>
        <w:t xml:space="preserve"> </w:t>
      </w:r>
      <w:r>
        <w:t xml:space="preserve">Establishing dedicated national research funds specifically targeted at doctoral training and post-doctoral research, with transparent peer-review processes modeled on international standards.</w:t>
      </w:r>
    </w:p>
    <w:p>
      <w:pPr>
        <w:numPr>
          <w:ilvl w:val="0"/>
          <w:numId w:val="1003"/>
        </w:numPr>
        <w:pStyle w:val="Compact"/>
      </w:pPr>
      <w:r>
        <w:rPr>
          <w:bCs/>
          <w:b/>
        </w:rPr>
        <w:t xml:space="preserve">Modernized Research Infrastructure:</w:t>
      </w:r>
      <w:r>
        <w:t xml:space="preserve"> </w:t>
      </w:r>
      <w:r>
        <w:t xml:space="preserve">Significant investment in digital infrastructure, access to global academic databases (e.g., via institutional subscriptions), and state-of-the-art lab facilities across Tashkent's leading universities.</w:t>
      </w:r>
    </w:p>
    <w:p>
      <w:pPr>
        <w:numPr>
          <w:ilvl w:val="0"/>
          <w:numId w:val="1003"/>
        </w:numPr>
        <w:pStyle w:val="Compact"/>
      </w:pPr>
      <w:r>
        <w:rPr>
          <w:bCs/>
          <w:b/>
        </w:rPr>
        <w:t xml:space="preserve">Strengthened International Partnerships:</w:t>
      </w:r>
      <w:r>
        <w:t xml:space="preserve"> </w:t>
      </w:r>
      <w:r>
        <w:t xml:space="preserve">Creating formal bilateral agreements between Tashkent institutions and leading global universities for joint research projects, student/faculty exchange programs, and co-supervision of dissertations.</w:t>
      </w:r>
    </w:p>
    <w:p>
      <w:pPr>
        <w:numPr>
          <w:ilvl w:val="0"/>
          <w:numId w:val="1003"/>
        </w:numPr>
        <w:pStyle w:val="Compact"/>
      </w:pPr>
      <w:r>
        <w:rPr>
          <w:bCs/>
          <w:b/>
        </w:rPr>
        <w:t xml:space="preserve">Reformed Evaluation Systems:</w:t>
      </w:r>
      <w:r>
        <w:t xml:space="preserve"> </w:t>
      </w:r>
      <w:r>
        <w:t xml:space="preserve">Developing university-wide metrics that value high-impact research output (publications, patents, societal impact) alongside teaching excellence to incentivize the Academic Researcher role.</w:t>
      </w:r>
    </w:p>
    <w:bookmarkEnd w:id="23"/>
    <w:bookmarkStart w:id="24" w:name="X3065a9b669bec336b0657ab623e777e30689d47"/>
    <w:p>
      <w:pPr>
        <w:pStyle w:val="Heading2"/>
      </w:pPr>
      <w:r>
        <w:t xml:space="preserve">Conclusion: The Academic Researcher as a National Asset</w:t>
      </w:r>
    </w:p>
    <w:p>
      <w:pPr>
        <w:pStyle w:val="FirstParagraph"/>
      </w:pPr>
      <w:r>
        <w:t xml:space="preserve">The journey of an</w:t>
      </w:r>
      <w:r>
        <w:t xml:space="preserve"> </w:t>
      </w:r>
      <w:r>
        <w:rPr>
          <w:bCs/>
          <w:b/>
        </w:rPr>
        <w:t xml:space="preserve">Academic Researcher</w:t>
      </w:r>
      <w:r>
        <w:t xml:space="preserve">, culminating in the completion of a scholarly and impactful</w:t>
      </w:r>
      <w:r>
        <w:t xml:space="preserve"> </w:t>
      </w:r>
      <w:r>
        <w:rPr>
          <w:bCs/>
          <w:b/>
        </w:rPr>
        <w:t xml:space="preserve">Dissertation</w:t>
      </w:r>
      <w:r>
        <w:t xml:space="preserve">, is not merely an individual academic milestone but a vital contribution to the advancement of knowledge within</w:t>
      </w:r>
      <w:r>
        <w:t xml:space="preserve"> </w:t>
      </w:r>
      <w:r>
        <w:rPr>
          <w:bCs/>
          <w:b/>
        </w:rPr>
        <w:t xml:space="preserve">Uzbekistan Tashkent</w:t>
      </w:r>
      <w:r>
        <w:t xml:space="preserve">. As Uzbekistan continues its path towards modernization and integration, the capacity of its Academic Researchers to generate original, relevant, and high-quality research from Tashkent's academic heartland becomes paramount. Supporting these scholars through sustained investment in their training, infrastructure, and international engagement is not just an academic imperative; it is a strategic national investment in the future prosperity and global standing of</w:t>
      </w:r>
      <w:r>
        <w:t xml:space="preserve"> </w:t>
      </w:r>
      <w:r>
        <w:rPr>
          <w:bCs/>
          <w:b/>
        </w:rPr>
        <w:t xml:space="preserve">Uzbekistan</w:t>
      </w:r>
      <w:r>
        <w:t xml:space="preserve">. The success of each dissertation completed by an Academic Researcher in Tashkent directly fuels the engine of innovation driving "New Uzbekistan" forward.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Tashkent, Uzbekistan</dc:title>
  <dc:creator/>
  <dc:language>en</dc:language>
  <cp:keywords/>
  <dcterms:created xsi:type="dcterms:W3CDTF">2026-07-23T10:06:33Z</dcterms:created>
  <dcterms:modified xsi:type="dcterms:W3CDTF">2026-07-23T10:06:33Z</dcterms:modified>
</cp:coreProperties>
</file>

<file path=docProps/custom.xml><?xml version="1.0" encoding="utf-8"?>
<Properties xmlns="http://schemas.openxmlformats.org/officeDocument/2006/custom-properties" xmlns:vt="http://schemas.openxmlformats.org/officeDocument/2006/docPropsVTypes"/>
</file>