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Frankfurt</w:t>
      </w:r>
    </w:p>
    <w:bookmarkStart w:id="27" w:name="Xb5521537a5591c4237dc1a54b082df45d3553fb"/>
    <w:p>
      <w:pPr>
        <w:pStyle w:val="Heading1"/>
      </w:pPr>
      <w:r>
        <w:t xml:space="preserve">The Critical Function of the Accountant within Germany Frankfurt's Financial Ecosystem: A Contemporary Dissertation Analysis</w:t>
      </w:r>
    </w:p>
    <w:bookmarkStart w:id="20" w:name="abstract"/>
    <w:p>
      <w:pPr>
        <w:pStyle w:val="Heading2"/>
      </w:pPr>
      <w:r>
        <w:t xml:space="preserve">Abstract</w:t>
      </w:r>
    </w:p>
    <w:p>
      <w:pPr>
        <w:pStyle w:val="FirstParagraph"/>
      </w:pPr>
      <w:r>
        <w:t xml:space="preserve">This dissertation examines the indispensable role of the professional Accountant within the unique economic and regulatory landscape of Germany, with specific focus on Frankfurt am Main. As Europe’s premier financial hub, hosting institutions like the European Central Bank (ECB), Deutsche Börse, and numerous multinational corporate headquarters, Frankfurt demands a highly specialized accounting profession. This study analyzes regulatory frameworks (HGB vs. IFRS), professional certifications (Wirtschaftsprüfer, Steuerberater), market dynamics, and future challenges facing the Accountant in this critical German financial center.</w:t>
      </w:r>
    </w:p>
    <w:bookmarkEnd w:id="20"/>
    <w:bookmarkStart w:id="21" w:name="X9badc9c62cea04cde1182bc02d8ca7a99066a0a"/>
    <w:p>
      <w:pPr>
        <w:pStyle w:val="Heading2"/>
      </w:pPr>
      <w:r>
        <w:t xml:space="preserve">Introduction: Frankfurt – The Heartbeat of German Finance</w:t>
      </w:r>
    </w:p>
    <w:p>
      <w:pPr>
        <w:pStyle w:val="FirstParagraph"/>
      </w:pPr>
      <w:r>
        <w:t xml:space="preserve">Germany Frankfurt is not merely a city; it is the undisputed epicenter of European finance. As home to the ECB, numerous major banks (Deutsche Bank, Commerzbank), insurance giants, and international financial services firms, its economy operates at a scale demanding exceptional accounting expertise. The Accountant in this environment transcends traditional number-crunching duties; they are strategic advisors navigating complex cross-border regulations and safeguarding corporate integrity. This dissertation argues that the evolving responsibilities of the Accountant within Germany Frankfurt necessitate continuous adaptation to maintain the city’s competitive edge as a global financial center.</w:t>
      </w:r>
    </w:p>
    <w:bookmarkEnd w:id="21"/>
    <w:bookmarkStart w:id="22" w:name="X3da144ee2b1e317e047c5dffff4721846891cb2"/>
    <w:p>
      <w:pPr>
        <w:pStyle w:val="Heading2"/>
      </w:pPr>
      <w:r>
        <w:t xml:space="preserve">Regulatory Architecture: The Foundation for German Accountants</w:t>
      </w:r>
    </w:p>
    <w:p>
      <w:pPr>
        <w:pStyle w:val="FirstParagraph"/>
      </w:pPr>
      <w:r>
        <w:t xml:space="preserve">The professional landscape for the Accountant in Germany is fundamentally shaped by stringent national and European regulations. The German Commercial Code (HGB) governs statutory accounting for most domestic entities, while International Financial Reporting Standards (IFRS) are mandatory for listed companies and large groups, a critical requirement given Frankfurt’s dense concentration of DAX-listed firms. The Federal Financial Supervisory Authority (BaFin), headquartered in Frankfurt, enforces rigorous compliance. A key focus of this dissertation is the Accountant's role in ensuring seamless adherence to both HGB and IFRS frameworks within the city's unique context, particularly concerning consolidation, group reporting for multinational entities, and transparency requirements mandated by MiFID II. The Accountant must be a proficient interpreter of these complex rules to prevent costly regulatory breaches for clients operating at Frankfurt's financial core.</w:t>
      </w:r>
    </w:p>
    <w:bookmarkEnd w:id="22"/>
    <w:bookmarkStart w:id="23" w:name="X8e4e52c38f78ea4cd2b9532b433c21614038018"/>
    <w:p>
      <w:pPr>
        <w:pStyle w:val="Heading2"/>
      </w:pPr>
      <w:r>
        <w:t xml:space="preserve">Professional Certification &amp; Career Trajectory in Frankfurt</w:t>
      </w:r>
    </w:p>
    <w:p>
      <w:pPr>
        <w:pStyle w:val="FirstParagraph"/>
      </w:pPr>
      <w:r>
        <w:t xml:space="preserve">Becoming a qualified Accountant in Germany Frankfurt requires navigating a highly structured professional pathway. The most prestigious certification, the "Wirtschaftsprüfer" (Certified Public Accountant), demands extensive practical experience (typically 5 years), rigorous written and oral exams administered by state chambers, and strict ethical standards. Equally important is the "Steuerberater" (Tax Advisor) qualification, often pursued alongside or separately. This dissertation highlights the synergistic demand for these dual certifications among firms in Germany Frankfurt, where complex tax structures (including EU cross-border transactions) and meticulous audit requirements are paramount. The career trajectory for a successful Accountant in Frankfurt typically involves progression from junior analyst to senior manager within Big 4 firms (PwC, EY, KPMG, Deloitte all have major German offices here), specialized consultancies, or in-house finance leadership roles at major Frankfurt-based corporations. The city’s density creates unparalleled networking opportunities and access to high-impact projects.</w:t>
      </w:r>
    </w:p>
    <w:bookmarkEnd w:id="23"/>
    <w:bookmarkStart w:id="24" w:name="X953482f8801dfa289f4b6c159a6157ec5ddd162"/>
    <w:p>
      <w:pPr>
        <w:pStyle w:val="Heading2"/>
      </w:pPr>
      <w:r>
        <w:t xml:space="preserve">Challenges &amp; Future Imperatives for the Frankfurt Accountant</w:t>
      </w:r>
    </w:p>
    <w:p>
      <w:pPr>
        <w:pStyle w:val="FirstParagraph"/>
      </w:pPr>
      <w:r>
        <w:t xml:space="preserve">The dissertation identifies critical challenges facing the modern Accountant within Germany Frankfurt. Digital transformation is reshaping core functions: AI-driven data analytics demands new skills, blockchain impacts audit trails, and sophisticated ERP systems (like SAP S/4HANA) are standard. Furthermore, the escalating focus on Environmental, Social, and Governance (ESG) reporting presents a significant new domain where the Accountant must move beyond financial statements to verify sustainability metrics – an area of intense regulatory development in Frankfurt's corporate sphere. Geopolitical instability and evolving EU regulations (like the Corporate Sustainability Reporting Directive - CSRD) add layers of complexity. This research underscores that the Accountant in Germany Frankfurt must evolve from a compliance-focused role into a strategic, tech-savvy business partner capable of navigating these multifaceted challenges.</w:t>
      </w:r>
    </w:p>
    <w:bookmarkEnd w:id="24"/>
    <w:bookmarkStart w:id="25" w:name="Xc8230d2a2c0d419a547cc9ec20604c27b855005"/>
    <w:p>
      <w:pPr>
        <w:pStyle w:val="Heading2"/>
      </w:pPr>
      <w:r>
        <w:t xml:space="preserve">Conclusion: The Accountant as Cornerstone of Frankfurt's Financial Future</w:t>
      </w:r>
    </w:p>
    <w:p>
      <w:pPr>
        <w:pStyle w:val="FirstParagraph"/>
      </w:pPr>
      <w:r>
        <w:t xml:space="preserve">This dissertation conclusively establishes that the Accountant is not merely an employee within Germany Frankfurt’s financial infrastructure; they are a fundamental pillar. The city’s reputation as Europe's premier financial center hinges on the accuracy, integrity, and strategic insight provided by its accounting professionals. Navigating the dual demands of HGB and IFRS, mastering complex tax landscapes under BaFin supervision, obtaining rigorous certifications like Wirtschaftsprüfer or Steuerberater, and adapting to digital disruption and ESG reporting are non-negotiable for success. As Frankfurt continues to evolve as a global hub for finance, regulation, and innovation in Germany, the role of the Accountant will only grow in strategic importance. Continuous professional development (CPD), embrace of emerging technologies (AI, data analytics), and a deep understanding of both German law and international frameworks are essential for any Accountant aspiring to thrive within this dynamic environment. The future prosperity of Germany Frankfurt is inextricably linked to the expertise, ethics, and adaptability of its Accountants.</w:t>
      </w:r>
    </w:p>
    <w:bookmarkEnd w:id="25"/>
    <w:bookmarkStart w:id="26" w:name="references-illustrative"/>
    <w:p>
      <w:pPr>
        <w:pStyle w:val="Heading2"/>
      </w:pPr>
      <w:r>
        <w:t xml:space="preserve">References (Illustrative)</w:t>
      </w:r>
    </w:p>
    <w:p>
      <w:pPr>
        <w:pStyle w:val="FirstParagraph"/>
      </w:pPr>
      <w:r>
        <w:t xml:space="preserve">BaFin. (2023). *Financial Market Supervision Guidelines*. Frankfurt am Main.</w:t>
      </w:r>
      <w:r>
        <w:br/>
      </w:r>
      <w:r>
        <w:t xml:space="preserve">Deutsche Bundesbank. (2024). *Annual Report on the German Financial System*. Frankfurt.</w:t>
      </w:r>
      <w:r>
        <w:br/>
      </w:r>
      <w:r>
        <w:t xml:space="preserve">International Accounting Standards Board (IASB). (2023). *IFRS for SMEs Handbook*.</w:t>
      </w:r>
      <w:r>
        <w:br/>
      </w:r>
      <w:r>
        <w:t xml:space="preserve">German Institute of Professional Accountants (IDW). (2024). *Principles and Standards of Professional Conduct in Germany*.</w:t>
      </w:r>
      <w:r>
        <w:br/>
      </w:r>
      <w:r>
        <w:t xml:space="preserve">European Commission. (2023). *Corporate Sustainability Reporting Directive (CSRD) Implementation Guidance*.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Germany Frankfurt</dc:title>
  <dc:creator/>
  <dc:language>en</dc:language>
  <cp:keywords/>
  <dcterms:created xsi:type="dcterms:W3CDTF">2026-05-02T20:25:41Z</dcterms:created>
  <dcterms:modified xsi:type="dcterms:W3CDTF">2026-05-02T20:25:41Z</dcterms:modified>
</cp:coreProperties>
</file>

<file path=docProps/custom.xml><?xml version="1.0" encoding="utf-8"?>
<Properties xmlns="http://schemas.openxmlformats.org/officeDocument/2006/custom-properties" xmlns:vt="http://schemas.openxmlformats.org/officeDocument/2006/docPropsVTypes"/>
</file>