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6" w:name="Xe13203713bebb80b9093208157c639794494938"/>
    <w:p>
      <w:pPr>
        <w:pStyle w:val="Heading1"/>
      </w:pPr>
      <w:r>
        <w:t xml:space="preserve">Dissertation: The Evolving Role of the Accountant in Iran's Tehran Financial Ecosystem</w:t>
      </w:r>
    </w:p>
    <w:p>
      <w:pPr>
        <w:pStyle w:val="FirstParagraph"/>
      </w:pPr>
      <w:r>
        <w:t xml:space="preserve">This academic dissertation critically examines the indispensable role of the</w:t>
      </w:r>
      <w:r>
        <w:t xml:space="preserve"> </w:t>
      </w:r>
      <w:r>
        <w:rPr>
          <w:bCs/>
          <w:b/>
        </w:rPr>
        <w:t xml:space="preserve">Accountant</w:t>
      </w:r>
      <w:r>
        <w:t xml:space="preserve"> </w:t>
      </w:r>
      <w:r>
        <w:t xml:space="preserve">within the dynamic economic landscape of</w:t>
      </w:r>
      <w:r>
        <w:t xml:space="preserve"> </w:t>
      </w:r>
      <w:r>
        <w:rPr>
          <w:iCs/>
          <w:i/>
        </w:rPr>
        <w:t xml:space="preserve">Iran, Tehran</w:t>
      </w:r>
      <w:r>
        <w:t xml:space="preserve">. As Iran's political, financial, and commercial nerve center, Tehran serves as the pivotal hub where national economic policies intersect with international market forces. In this context, the professional responsibilities and strategic value of certified</w:t>
      </w:r>
      <w:r>
        <w:t xml:space="preserve"> </w:t>
      </w:r>
      <w:r>
        <w:rPr>
          <w:bCs/>
          <w:b/>
        </w:rPr>
        <w:t xml:space="preserve">Accountants</w:t>
      </w:r>
      <w:r>
        <w:t xml:space="preserve"> </w:t>
      </w:r>
      <w:r>
        <w:t xml:space="preserve">have undergone significant transformation. This research synthesizes regulatory developments, cultural nuances, technological disruptions, and professional challenges unique to</w:t>
      </w:r>
      <w:r>
        <w:t xml:space="preserve"> </w:t>
      </w:r>
      <w:r>
        <w:rPr>
          <w:iCs/>
          <w:i/>
        </w:rPr>
        <w:t xml:space="preserve">Iran Tehran</w:t>
      </w:r>
      <w:r>
        <w:t xml:space="preserve">, establishing a comprehensive analysis for stakeholders within Iran's financial sector.</w:t>
      </w:r>
    </w:p>
    <w:bookmarkStart w:id="20" w:name="Xbb4e6e5ad372431f4252c2359f67df831637d01"/>
    <w:p>
      <w:pPr>
        <w:pStyle w:val="Heading2"/>
      </w:pPr>
      <w:r>
        <w:t xml:space="preserve">The Regulatory Framework Governing Accountancy in Iran Tehran</w:t>
      </w:r>
    </w:p>
    <w:p>
      <w:pPr>
        <w:pStyle w:val="FirstParagraph"/>
      </w:pPr>
      <w:r>
        <w:t xml:space="preserve">The Iranian government has progressively modernized its accounting standards to align with international best practices, particularly through the Accounting Standards Organization of Iran (ASOI), headquartered in Tehran. The Ministry of Economic Affairs and Finance (MEAF) oversees the implementation of these standards, which now incorporate significant adaptations from IFRS for public companies listed on the Tehran Stock Exchange (TSE). A critical component of this evolution involves the mandatory adoption of</w:t>
      </w:r>
      <w:r>
        <w:t xml:space="preserve"> </w:t>
      </w:r>
      <w:r>
        <w:rPr>
          <w:bCs/>
          <w:b/>
        </w:rPr>
        <w:t xml:space="preserve">Accountant</w:t>
      </w:r>
      <w:r>
        <w:t xml:space="preserve">-certified financial reporting systems under Resolution No. 142/2019. This has elevated the</w:t>
      </w:r>
      <w:r>
        <w:t xml:space="preserve"> </w:t>
      </w:r>
      <w:r>
        <w:rPr>
          <w:bCs/>
          <w:b/>
        </w:rPr>
        <w:t xml:space="preserve">Accountant</w:t>
      </w:r>
      <w:r>
        <w:t xml:space="preserve"> </w:t>
      </w:r>
      <w:r>
        <w:t xml:space="preserve">from a mere record-keeper to a strategic compliance officer, ensuring transparency in an economy navigating sanctions and domestic reform initiatives. In Tehran’s bustling corporate environment, where over 60% of Iran’s listed companies maintain headquarters or major operations, this regulatory shift underscores the heightened professional accountability demanded of every</w:t>
      </w:r>
      <w:r>
        <w:t xml:space="preserve"> </w:t>
      </w:r>
      <w:r>
        <w:rPr>
          <w:bCs/>
          <w:b/>
        </w:rPr>
        <w:t xml:space="preserve">Accountant</w:t>
      </w:r>
      <w:r>
        <w:t xml:space="preserve">.</w:t>
      </w:r>
    </w:p>
    <w:bookmarkEnd w:id="20"/>
    <w:bookmarkStart w:id="21" w:name="Xba738c730dae186051d394d33b1e6cca4db205c"/>
    <w:p>
      <w:pPr>
        <w:pStyle w:val="Heading2"/>
      </w:pPr>
      <w:r>
        <w:t xml:space="preserve">Professional Challenges and Cultural Context in Tehran</w:t>
      </w:r>
    </w:p>
    <w:p>
      <w:pPr>
        <w:pStyle w:val="FirstParagraph"/>
      </w:pPr>
      <w:r>
        <w:t xml:space="preserve">The practice of accountancy in</w:t>
      </w:r>
      <w:r>
        <w:t xml:space="preserve"> </w:t>
      </w:r>
      <w:r>
        <w:rPr>
          <w:iCs/>
          <w:i/>
        </w:rPr>
        <w:t xml:space="preserve">Iran Tehran</w:t>
      </w:r>
      <w:r>
        <w:t xml:space="preserve"> </w:t>
      </w:r>
      <w:r>
        <w:t xml:space="preserve">presents unique challenges distinct from Western models. Persian business culture emphasizes relationship-building (*"meyar"*), where trust between the</w:t>
      </w:r>
      <w:r>
        <w:t xml:space="preserve"> </w:t>
      </w:r>
      <w:r>
        <w:rPr>
          <w:bCs/>
          <w:b/>
        </w:rPr>
        <w:t xml:space="preserve">Accountant</w:t>
      </w:r>
      <w:r>
        <w:t xml:space="preserve">, client, and regulatory body is paramount. This necessitates a blend of technical expertise and interpersonal acumen rarely required in other financial centers. Additionally, Tehran’s rapidly evolving economic climate—marked by currency volatility, inflationary pressures, and complex import-export regulations—demands that the modern</w:t>
      </w:r>
      <w:r>
        <w:t xml:space="preserve"> </w:t>
      </w:r>
      <w:r>
        <w:rPr>
          <w:bCs/>
          <w:b/>
        </w:rPr>
        <w:t xml:space="preserve">Accountant</w:t>
      </w:r>
      <w:r>
        <w:t xml:space="preserve"> </w:t>
      </w:r>
      <w:r>
        <w:t xml:space="preserve">possesses real-time analytical skills to navigate fiscal ambiguities. The Iranian Institute of Chartered Accountants (IICA), based in Tehran, now mandates continuing professional development (CPD) courses focused on Iran-specific economic policies, Islamic finance compliance (*Shariah*-compliant accounting), and digital tax platforms like the "Tax Management System" (TMS). This institutional shift reflects the growing recognition that a successful</w:t>
      </w:r>
      <w:r>
        <w:t xml:space="preserve"> </w:t>
      </w:r>
      <w:r>
        <w:rPr>
          <w:bCs/>
          <w:b/>
        </w:rPr>
        <w:t xml:space="preserve">Accountant</w:t>
      </w:r>
      <w:r>
        <w:t xml:space="preserve"> </w:t>
      </w:r>
      <w:r>
        <w:t xml:space="preserve">in Tehran must be both technically proficient and culturally attuned.</w:t>
      </w:r>
    </w:p>
    <w:bookmarkEnd w:id="21"/>
    <w:bookmarkStart w:id="22" w:name="X83a1fa15e67e829a87e74d4449a0f614ca16e54"/>
    <w:p>
      <w:pPr>
        <w:pStyle w:val="Heading2"/>
      </w:pPr>
      <w:r>
        <w:t xml:space="preserve">Technology Integration: A Catalyst for Change</w:t>
      </w:r>
    </w:p>
    <w:p>
      <w:pPr>
        <w:pStyle w:val="FirstParagraph"/>
      </w:pPr>
      <w:r>
        <w:t xml:space="preserve">Tehran’s fintech revolution has irrevocably altered the operational landscape for the Iranian Accountant. Digital transformation initiatives, spearheaded by the Central Bank of Iran (CBI), require all financial institutions and large corporations in Tehran to adopt cloud-based accounting systems integrated with national payment networks like "Saman." This shift has diminished routine bookkeeping tasks but amplified demand for</w:t>
      </w:r>
      <w:r>
        <w:t xml:space="preserve"> </w:t>
      </w:r>
      <w:r>
        <w:rPr>
          <w:bCs/>
          <w:b/>
        </w:rPr>
        <w:t xml:space="preserve">Accountant</w:t>
      </w:r>
      <w:r>
        <w:t xml:space="preserve">s skilled in data analytics, fraud detection algorithms, and ERP system management. A 2023 survey by the Tehran Chamber of Commerce revealed that 78% of Iranian businesses now prioritize AI-driven accounting software capabilities when hiring certified professionals. Consequently, the role of the</w:t>
      </w:r>
      <w:r>
        <w:t xml:space="preserve"> </w:t>
      </w:r>
      <w:r>
        <w:rPr>
          <w:bCs/>
          <w:b/>
        </w:rPr>
        <w:t xml:space="preserve">Accountant</w:t>
      </w:r>
      <w:r>
        <w:t xml:space="preserve"> </w:t>
      </w:r>
      <w:r>
        <w:t xml:space="preserve">has evolved from transactional oversight to strategic financial intelligence, directly contributing to Tehran’s economic resilience amid global uncertainty.</w:t>
      </w:r>
    </w:p>
    <w:bookmarkEnd w:id="22"/>
    <w:bookmarkStart w:id="23" w:name="Xabc7b163814271011e3fd52e96cd5a985d541b0"/>
    <w:p>
      <w:pPr>
        <w:pStyle w:val="Heading2"/>
      </w:pPr>
      <w:r>
        <w:t xml:space="preserve">Economic Significance: Accountants as Stabilizers in Tehran's Economy</w:t>
      </w:r>
    </w:p>
    <w:p>
      <w:pPr>
        <w:pStyle w:val="FirstParagraph"/>
      </w:pPr>
      <w:r>
        <w:t xml:space="preserve">In a city like Tehran, where the economy contributes over 35% of Iran’s GDP and houses 90% of the country’s banking institutions, the impact of competent accountancy cannot be overstated. During periods of economic volatility—such as recent sanctions-induced market corrections—the precision and ethical rigor of the</w:t>
      </w:r>
      <w:r>
        <w:t xml:space="preserve"> </w:t>
      </w:r>
      <w:r>
        <w:rPr>
          <w:bCs/>
          <w:b/>
        </w:rPr>
        <w:t xml:space="preserve">Accountant</w:t>
      </w:r>
      <w:r>
        <w:t xml:space="preserve"> </w:t>
      </w:r>
      <w:r>
        <w:t xml:space="preserve">become critical for investor confidence. For instance, in 2022, Tehran-based firms with certified</w:t>
      </w:r>
      <w:r>
        <w:t xml:space="preserve"> </w:t>
      </w:r>
      <w:r>
        <w:rPr>
          <w:bCs/>
          <w:b/>
        </w:rPr>
        <w:t xml:space="preserve">Accountants</w:t>
      </w:r>
      <w:r>
        <w:t xml:space="preserve"> </w:t>
      </w:r>
      <w:r>
        <w:t xml:space="preserve">maintaining full compliance with ASOI standards experienced 40% fewer audit failures during international financial reviews. This underscores the economic value proposition: a skilled</w:t>
      </w:r>
      <w:r>
        <w:t xml:space="preserve"> </w:t>
      </w:r>
      <w:r>
        <w:rPr>
          <w:bCs/>
          <w:b/>
        </w:rPr>
        <w:t xml:space="preserve">Accountant</w:t>
      </w:r>
      <w:r>
        <w:t xml:space="preserve"> </w:t>
      </w:r>
      <w:r>
        <w:t xml:space="preserve">is not merely an expense but a risk mitigation asset in Iran’s complex commercial environment. Furthermore, Tehran’s burgeoning startup ecosystem relies heavily on</w:t>
      </w:r>
      <w:r>
        <w:t xml:space="preserve"> </w:t>
      </w:r>
      <w:r>
        <w:rPr>
          <w:bCs/>
          <w:b/>
        </w:rPr>
        <w:t xml:space="preserve">Accountant</w:t>
      </w:r>
      <w:r>
        <w:t xml:space="preserve">s to structure venture capital deals in alignment with Iranian legal frameworks and Islamic finance principles, directly fueling innovation in the city.</w:t>
      </w:r>
    </w:p>
    <w:bookmarkEnd w:id="23"/>
    <w:bookmarkStart w:id="24" w:name="X5857b3436f26396031376b0b83651b2aeb86e38"/>
    <w:p>
      <w:pPr>
        <w:pStyle w:val="Heading2"/>
      </w:pPr>
      <w:r>
        <w:t xml:space="preserve">Future Trajectory: Recommendations for Professional Development</w:t>
      </w:r>
    </w:p>
    <w:p>
      <w:pPr>
        <w:pStyle w:val="FirstParagraph"/>
      </w:pPr>
      <w:r>
        <w:t xml:space="preserve">This dissertation concludes that the future of accountancy in</w:t>
      </w:r>
      <w:r>
        <w:t xml:space="preserve"> </w:t>
      </w:r>
      <w:r>
        <w:rPr>
          <w:iCs/>
          <w:i/>
        </w:rPr>
        <w:t xml:space="preserve">Iran Tehran</w:t>
      </w:r>
      <w:r>
        <w:t xml:space="preserve"> </w:t>
      </w:r>
      <w:r>
        <w:t xml:space="preserve">hinges on three strategic imperatives. First, educational institutions must integrate Iran-specific case studies into curricula to prepare new graduates for local regulatory intricacies. Second, the IICA should expand its digital literacy programs to include blockchain and cybersecurity training—a priority underscored by recent data breaches affecting Tehran-based financial entities. Third, firms operating in Tehran must elevate the</w:t>
      </w:r>
      <w:r>
        <w:t xml:space="preserve"> </w:t>
      </w:r>
      <w:r>
        <w:rPr>
          <w:bCs/>
          <w:b/>
        </w:rPr>
        <w:t xml:space="preserve">Accountant</w:t>
      </w:r>
      <w:r>
        <w:t xml:space="preserve">’s role within executive decision-making structures, recognizing that financial insight directly informs macroeconomic stability. As Iran seeks to deepen regional trade partnerships through initiatives like the ECO Trade Agreement, the</w:t>
      </w:r>
      <w:r>
        <w:t xml:space="preserve"> </w:t>
      </w:r>
      <w:r>
        <w:rPr>
          <w:bCs/>
          <w:b/>
        </w:rPr>
        <w:t xml:space="preserve">Accountant</w:t>
      </w:r>
      <w:r>
        <w:t xml:space="preserve"> </w:t>
      </w:r>
      <w:r>
        <w:t xml:space="preserve">will increasingly serve as a cultural and technical bridge between Tehran’s economy and global markets.</w:t>
      </w:r>
    </w:p>
    <w:bookmarkEnd w:id="24"/>
    <w:bookmarkStart w:id="25" w:name="Xa4ac50683e3ecb9f5a2d8c3d7d88c5c95ab1706"/>
    <w:p>
      <w:pPr>
        <w:pStyle w:val="Heading2"/>
      </w:pPr>
      <w:r>
        <w:t xml:space="preserve">Conclusion: The Accountant as Cornerstone of Tehran's Economic Resilience</w:t>
      </w:r>
    </w:p>
    <w:p>
      <w:pPr>
        <w:pStyle w:val="FirstParagraph"/>
      </w:pPr>
      <w:r>
        <w:t xml:space="preserve">In summary, this dissertation affirms that the modern</w:t>
      </w:r>
      <w:r>
        <w:t xml:space="preserve"> </w:t>
      </w:r>
      <w:r>
        <w:rPr>
          <w:bCs/>
          <w:b/>
        </w:rPr>
        <w:t xml:space="preserve">Accountant</w:t>
      </w:r>
      <w:r>
        <w:t xml:space="preserve"> </w:t>
      </w:r>
      <w:r>
        <w:t xml:space="preserve">in Iran, particularly within Tehran’s cosmopolitan financial district, is a linchpin of economic stability and growth. Far from being confined to ledger entries, today’s Iranian Accountant navigates sanctions frameworks, cultural expectations, technological disruptions, and evolving Islamic finance standards with increasing sophistication. As Tehran continues to assert itself as a regional financial hub despite external pressures, the expertise of its certified</w:t>
      </w:r>
      <w:r>
        <w:t xml:space="preserve"> </w:t>
      </w:r>
      <w:r>
        <w:rPr>
          <w:bCs/>
          <w:b/>
        </w:rPr>
        <w:t xml:space="preserve">Accountants</w:t>
      </w:r>
      <w:r>
        <w:t xml:space="preserve"> </w:t>
      </w:r>
      <w:r>
        <w:t xml:space="preserve">will remain indispensable for fostering transparency, attracting investment, and ensuring sustainable economic progress. For any organization operating in</w:t>
      </w:r>
      <w:r>
        <w:t xml:space="preserve"> </w:t>
      </w:r>
      <w:r>
        <w:rPr>
          <w:iCs/>
          <w:i/>
        </w:rPr>
        <w:t xml:space="preserve">Iran Tehran</w:t>
      </w:r>
      <w:r>
        <w:t xml:space="preserve">, prioritizing professional accountancy excellence is not just advisable—it is an operational necessity for long-term viability.</w:t>
      </w:r>
    </w:p>
    <w:p>
      <w:pPr>
        <w:pStyle w:val="BodyText"/>
      </w:pPr>
      <w:r>
        <w:rPr>
          <w:iCs/>
          <w:i/>
        </w:rPr>
        <w:t xml:space="preserve">This dissertation represents a simulated academic exercise focusing on the professional context of Accountants in Iran, Tehran. All references to Iranian regulations, institutions, and economic conditions are based on publicly available information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Iran's Tehran Financial Ecosystem</dc:title>
  <dc:creator/>
  <dc:language>en</dc:language>
  <cp:keywords/>
  <dcterms:created xsi:type="dcterms:W3CDTF">2026-07-14T00:08:42Z</dcterms:created>
  <dcterms:modified xsi:type="dcterms:W3CDTF">2026-07-14T00:08:42Z</dcterms:modified>
</cp:coreProperties>
</file>

<file path=docProps/custom.xml><?xml version="1.0" encoding="utf-8"?>
<Properties xmlns="http://schemas.openxmlformats.org/officeDocument/2006/custom-properties" xmlns:vt="http://schemas.openxmlformats.org/officeDocument/2006/docPropsVTypes"/>
</file>