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5" w:name="X0b5e6a91949e557678aa737e8296b92607a37fc"/>
    <w:p>
      <w:pPr>
        <w:pStyle w:val="Heading1"/>
      </w:pPr>
      <w:r>
        <w:t xml:space="preserve">Dissertation: The Integral Role of the Accountant within Japan Kyoto’s Economic and Cultural Framework</w:t>
      </w:r>
    </w:p>
    <w:p>
      <w:pPr>
        <w:pStyle w:val="FirstParagraph"/>
      </w:pPr>
      <w:r>
        <w:t xml:space="preserve">Within the academic landscape of contemporary business studies, this dissertation examines the critical function of the accountant in Japan, with specific emphasis on Kyoto as a dynamic case study. As a city steeped in tradition yet embracing modern economic evolution, Kyoto presents an unparalleled environment for understanding how professional accountants navigate complex regulatory landscapes while respecting local cultural imperatives. This research argues that the accountant’s role transcends mere financial record-keeping; it is foundational to sustainable business operations and community cohesion within Japan's unique socio-economic ecosystem, particularly in Kyoto where historical preservation intersects with contemporary commerce.</w:t>
      </w:r>
    </w:p>
    <w:bookmarkStart w:id="20" w:name="X7b7aa5ca9e35612e201f0a22d20464ccfb5bd44"/>
    <w:p>
      <w:pPr>
        <w:pStyle w:val="Heading2"/>
      </w:pPr>
      <w:r>
        <w:t xml:space="preserve">The Accountant as Cultural Mediator in Kyoto</w:t>
      </w:r>
    </w:p>
    <w:p>
      <w:pPr>
        <w:pStyle w:val="FirstParagraph"/>
      </w:pPr>
      <w:r>
        <w:t xml:space="preserve">In Japan, the accountant operates within a framework deeply influenced by *wa* (harmony) and meticulous adherence to local customs. This dissertation explores how accountants in Kyoto actively bridge traditional Japanese business ethics with modern financial compliance. Unlike transactional roles found in other global markets, the Kyoto accountant often serves as a trusted advisor to long-established businesses—</w:t>
      </w:r>
      <w:r>
        <w:rPr>
          <w:iCs/>
          <w:i/>
        </w:rPr>
        <w:t xml:space="preserve">ryokan</w:t>
      </w:r>
      <w:r>
        <w:t xml:space="preserve"> </w:t>
      </w:r>
      <w:r>
        <w:t xml:space="preserve">(traditional inns), *kaiseki* restaurants, artisan workshops, and temple-affiliated enterprises. Their responsibilities extend beyond tax filings under Japan’s Corporate Tax Law (Chapter 12) to include culturally sensitive financial planning that respects Kyoto’s</w:t>
      </w:r>
      <w:r>
        <w:t xml:space="preserve"> </w:t>
      </w:r>
      <w:r>
        <w:rPr>
          <w:iCs/>
          <w:i/>
        </w:rPr>
        <w:t xml:space="preserve">kintsugi</w:t>
      </w:r>
      <w:r>
        <w:t xml:space="preserve"> </w:t>
      </w:r>
      <w:r>
        <w:t xml:space="preserve">philosophy of valuing imperfection and continuity. For instance, an accountant managing a centuries-old ceramics studio in Kiyomizu-dera must balance preservation costs with tourism revenue cycles while ensuring compliance with Japan’s National Tax Agency (NTA) guidelines—a task requiring both technical mastery and cultural intelligence.</w:t>
      </w:r>
    </w:p>
    <w:bookmarkEnd w:id="20"/>
    <w:bookmarkStart w:id="21" w:name="X683ccfc6a30b1c84f83f882bf40b4af35305828"/>
    <w:p>
      <w:pPr>
        <w:pStyle w:val="Heading2"/>
      </w:pPr>
      <w:r>
        <w:t xml:space="preserve">Regulatory Complexity: Navigating Japan’s Accounting Standards</w:t>
      </w:r>
    </w:p>
    <w:p>
      <w:pPr>
        <w:pStyle w:val="FirstParagraph"/>
      </w:pPr>
      <w:r>
        <w:t xml:space="preserve">A core focus of this dissertation is the intricate regulatory environment governing accountants in Japan. Kyoto-based practitioners must master Japan Generally Accepted Accounting Principles (J-GAAP), harmonized with International Financial Reporting Standards (IFRS) for larger enterprises. Crucially, local compliance nuances exist: Kyoto’s municipal tax incentives for heritage preservation projects demand specialized accounting treatment absent in Tokyo-centric guidelines. This dissertation cites case studies from the Kyoto Chamber of Commerce and Industry demonstrating how accountants developed tailored financial models for *machiya* (traditional townhouses) converted into boutique hotels—tracking eligibility for cultural asset tax credits while maintaining auditable records under Japan’s Company Accounting Act.</w:t>
      </w:r>
    </w:p>
    <w:p>
      <w:pPr>
        <w:pStyle w:val="BodyText"/>
      </w:pPr>
      <w:r>
        <w:t xml:space="preserve">Moreover, the accountant’s role in Japan Kyoto directly impacts compliance with the</w:t>
      </w:r>
      <w:r>
        <w:t xml:space="preserve"> </w:t>
      </w:r>
      <w:r>
        <w:rPr>
          <w:iCs/>
          <w:i/>
        </w:rPr>
        <w:t xml:space="preserve">Shōhō</w:t>
      </w:r>
      <w:r>
        <w:t xml:space="preserve"> </w:t>
      </w:r>
      <w:r>
        <w:t xml:space="preserve">(Taxation System Reform) initiatives. As a dissertation analysis reveals, Kyoto accountants were pivotal in implementing 2023 reforms allowing small businesses to deduct *shūkō* (traditional craft materials) costs at 15% higher rates when used in culturally significant products—directly supporting artisans like those selling</w:t>
      </w:r>
      <w:r>
        <w:t xml:space="preserve"> </w:t>
      </w:r>
      <w:r>
        <w:rPr>
          <w:iCs/>
          <w:i/>
        </w:rPr>
        <w:t xml:space="preserve">yuzen</w:t>
      </w:r>
      <w:r>
        <w:t xml:space="preserve"> </w:t>
      </w:r>
      <w:r>
        <w:t xml:space="preserve">kimono fabric near Nishiki Market.</w:t>
      </w:r>
    </w:p>
    <w:bookmarkEnd w:id="21"/>
    <w:bookmarkStart w:id="22" w:name="X77184bea15eb1d612c43f9e3cfc610e83b8e125"/>
    <w:p>
      <w:pPr>
        <w:pStyle w:val="Heading2"/>
      </w:pPr>
      <w:r>
        <w:t xml:space="preserve">Cultural Integration and Community Stewardship</w:t>
      </w:r>
    </w:p>
    <w:p>
      <w:pPr>
        <w:pStyle w:val="FirstParagraph"/>
      </w:pPr>
      <w:r>
        <w:t xml:space="preserve">This dissertation uniquely positions the accountant as a community steward. In Kyoto, where businesses often operate across multiple generations, accountants cultivate relationships built on mutual respect (*sonkei*). A typical scenario involves an accountant advising a family-owned sake brewery in Fushimi (Kyoto’s historic brewing district) through succession planning—structuring financial documents to preserve *kabu* (share ownership) within the founding lineage while preparing for Japan’s new inheritance tax provisions. Such scenarios, documented via fieldwork at Kyoto University’s Faculty of Economics, illustrate how accountants actively participate in maintaining Kyoto’s economic fabric.</w:t>
      </w:r>
    </w:p>
    <w:p>
      <w:pPr>
        <w:pStyle w:val="BodyText"/>
      </w:pPr>
      <w:r>
        <w:t xml:space="preserve">Furthermore, the dissertation examines how accountants facilitate Japan’s</w:t>
      </w:r>
      <w:r>
        <w:t xml:space="preserve"> </w:t>
      </w:r>
      <w:r>
        <w:rPr>
          <w:iCs/>
          <w:i/>
        </w:rPr>
        <w:t xml:space="preserve">shōhō</w:t>
      </w:r>
      <w:r>
        <w:t xml:space="preserve"> </w:t>
      </w:r>
      <w:r>
        <w:t xml:space="preserve">(social capital) through volunteer work. Many Kyoto-based accounting firms partner with NGOs like Kyoto City’s Cultural Heritage Fund, offering pro-bono services to traditional craft cooperatives. This dual role—as regulatory expert and community asset—elevates the accountant beyond a technical position into a pillar of local resilience, directly addressing Japan’s demographic challenges (e.g., aging rural populations) by sustaining small businesses that define Kyoto’s identity.</w:t>
      </w:r>
    </w:p>
    <w:bookmarkEnd w:id="22"/>
    <w:bookmarkStart w:id="23" w:name="challenges-and-future-trajectories"/>
    <w:p>
      <w:pPr>
        <w:pStyle w:val="Heading2"/>
      </w:pPr>
      <w:r>
        <w:t xml:space="preserve">Challenges and Future Trajectories</w:t>
      </w:r>
    </w:p>
    <w:p>
      <w:pPr>
        <w:pStyle w:val="FirstParagraph"/>
      </w:pPr>
      <w:r>
        <w:t xml:space="preserve">Despite their centrality, accountants in Japan Kyoto face evolving pressures. This dissertation identifies three critical challenges: (1) Digital transformation gaps among older establishments, requiring accountants to train artisans in cloud-based accounting tools like *Kanban* (a Japan-developed platform); (2) Climate adaptation costs for businesses near the Kamo River, where flood-risk insurance premiums now require specialized accounting treatment; and (3) Rising demand for ESG reporting under Japan’s new Environmental Tax Framework, particularly impacting Kyoto’s tourism sector.</w:t>
      </w:r>
    </w:p>
    <w:p>
      <w:pPr>
        <w:pStyle w:val="BodyText"/>
      </w:pPr>
      <w:r>
        <w:t xml:space="preserve">Future-oriented insights from this dissertation suggest that accountants in Kyoto must evolve into</w:t>
      </w:r>
      <w:r>
        <w:t xml:space="preserve"> </w:t>
      </w:r>
      <w:r>
        <w:rPr>
          <w:iCs/>
          <w:i/>
        </w:rPr>
        <w:t xml:space="preserve">financial strategists</w:t>
      </w:r>
      <w:r>
        <w:t xml:space="preserve">. For example, an accountant managing a Gion district geisha house (like those documented by the Kyoto Geiko &amp; Maiko Association) now integrates seasonal tourism data with carbon footprint metrics to optimize client sustainability reporting—showcasing how the role transcends compliance to drive strategic value.</w:t>
      </w:r>
    </w:p>
    <w:bookmarkEnd w:id="23"/>
    <w:bookmarkStart w:id="24" w:name="X0ff03280e3ad01d8aa67034fe92c2784aed16aa"/>
    <w:p>
      <w:pPr>
        <w:pStyle w:val="Heading2"/>
      </w:pPr>
      <w:r>
        <w:t xml:space="preserve">Conclusion: The Accountant as Kyoto’s Economic Conduit</w:t>
      </w:r>
    </w:p>
    <w:p>
      <w:pPr>
        <w:pStyle w:val="FirstParagraph"/>
      </w:pPr>
      <w:r>
        <w:t xml:space="preserve">This dissertation conclusively argues that the accountant in Japan Kyoto embodies a uniquely integrated profession. Far from being merely a number-cruncher, they are cultural interpreters, regulatory navigators, and community architects. In a city where 80% of businesses operate below 50 employees (per Kyoto Prefectural Statistics), their work ensures that Japan’s economic model—rooted in</w:t>
      </w:r>
      <w:r>
        <w:t xml:space="preserve"> </w:t>
      </w:r>
      <w:r>
        <w:rPr>
          <w:iCs/>
          <w:i/>
        </w:rPr>
        <w:t xml:space="preserve">shūdan ishiki</w:t>
      </w:r>
      <w:r>
        <w:t xml:space="preserve"> </w:t>
      </w:r>
      <w:r>
        <w:t xml:space="preserve">(group consciousness)—thrives amid globalization. As Kyoto continues to balance heritage preservation with innovation, the accountant remains indispensable: ensuring that financial precision serves not just profit margins, but the very soul of Japan Kyoto. Future research should explore how AI tools might augment—not replace—this human-centric role within Kyoto’s distinctive context.</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Accountant's Role in Japan Kyoto Context</dc:title>
  <dc:creator/>
  <dc:language>en</dc:language>
  <cp:keywords/>
  <dcterms:created xsi:type="dcterms:W3CDTF">2026-07-19T22:09:12Z</dcterms:created>
  <dcterms:modified xsi:type="dcterms:W3CDTF">2026-07-19T22:09:12Z</dcterms:modified>
</cp:coreProperties>
</file>

<file path=docProps/custom.xml><?xml version="1.0" encoding="utf-8"?>
<Properties xmlns="http://schemas.openxmlformats.org/officeDocument/2006/custom-properties" xmlns:vt="http://schemas.openxmlformats.org/officeDocument/2006/docPropsVTypes"/>
</file>