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Kuwait</w:t>
      </w:r>
      <w:r>
        <w:t xml:space="preserve"> </w:t>
      </w:r>
      <w:r>
        <w:t xml:space="preserve">City</w:t>
      </w:r>
    </w:p>
    <w:bookmarkStart w:id="27" w:name="X5360748f9f19e045744f509774055d5fd219a17"/>
    <w:p>
      <w:pPr>
        <w:pStyle w:val="Heading1"/>
      </w:pPr>
      <w:r>
        <w:t xml:space="preserve">A Comprehensive Dissertation on the Contemporary Role of Accountants in Kuwait City</w:t>
      </w:r>
    </w:p>
    <w:bookmarkStart w:id="20" w:name="abstract"/>
    <w:p>
      <w:pPr>
        <w:pStyle w:val="Heading2"/>
      </w:pPr>
      <w:r>
        <w:t xml:space="preserve">Abstract</w:t>
      </w:r>
    </w:p>
    <w:p>
      <w:pPr>
        <w:pStyle w:val="FirstParagraph"/>
      </w:pPr>
      <w:r>
        <w:t xml:space="preserve">This Dissertation examines the critical role of the modern Accountant within Kuwait City's dynamic economic landscape. As the financial hub of Kuwait, Kuwait City demands highly skilled professionals who navigate complex regulatory environments while driving business growth. This research synthesizes current industry practices, challenges, and future trajectories for Accountants operating in this strategic location. The findings underscore how Accountants in Kuwait City are pivotal to national economic diversification efforts and international business integration.</w:t>
      </w:r>
    </w:p>
    <w:bookmarkEnd w:id="20"/>
    <w:bookmarkStart w:id="21" w:name="introduction"/>
    <w:p>
      <w:pPr>
        <w:pStyle w:val="Heading2"/>
      </w:pPr>
      <w:r>
        <w:t xml:space="preserve">Introduction</w:t>
      </w:r>
    </w:p>
    <w:p>
      <w:pPr>
        <w:pStyle w:val="FirstParagraph"/>
      </w:pPr>
      <w:r>
        <w:t xml:space="preserve">Kuwait City stands as the political, financial, and commercial epicenter of the State of Kuwait, hosting over 70% of the nation's corporate headquarters and multinational operations. Within this vibrant ecosystem, the role of an Accountant transcends traditional bookkeeping duties to become a strategic business partner. This Dissertation investigates how Accountants in Kuwait City adapt to evolving regulatory frameworks, technological disruptions, and global economic shifts while maintaining Kuwait's reputation as a stable investment destination. The study addresses the urgent need for highly qualified professionals who understand both international accounting standards (IFRS) and Kuwaiti commercial law.</w:t>
      </w:r>
    </w:p>
    <w:bookmarkEnd w:id="21"/>
    <w:bookmarkStart w:id="22" w:name="X3b4eb169ad325f3736a4d9010f9dcb1b30aec7b"/>
    <w:p>
      <w:pPr>
        <w:pStyle w:val="Heading2"/>
      </w:pPr>
      <w:r>
        <w:t xml:space="preserve">The Accounting Profession in Kuwait City: Current Landscape</w:t>
      </w:r>
    </w:p>
    <w:p>
      <w:pPr>
        <w:pStyle w:val="FirstParagraph"/>
      </w:pPr>
      <w:r>
        <w:t xml:space="preserve">Accountants in Kuwait City operate within a sophisticated financial environment governed by the Ministry of Finance and the Capital Markets Authority. The professional landscape has transformed dramatically since oil revenues began diversifying into finance, real estate, and tourism sectors. A qualified Accountant now requires proficiency in advanced ERP systems (SAP, Oracle), compliance with Gulf Cooperation Council (GCC) tax regulations, and expertise in Kuwaiti Commercial Law Articles 40-55 regarding financial reporting. The Kuwait Society of Accountants (KSA) reports a 32% increase in certified Accountants since 2018, reflecting growing demand for specialized talent.</w:t>
      </w:r>
    </w:p>
    <w:p>
      <w:pPr>
        <w:pStyle w:val="BodyText"/>
      </w:pPr>
      <w:r>
        <w:t xml:space="preserve">Crucially, Accountants in Kuwait City serve as vital interpreters between international investors and local business practices. When multinational corporations establish operations in Kuwait City, Accountants bridge cultural and technical gaps—translating IFRS requirements into locally compliant reports while navigating the unique KIP (Kuwaiti Investment Promotion) incentives. This dual competency makes Accountants indispensable for foreign direct investment in Kuwait City, directly contributing to the National Transformation Plan 2035 objectives.</w:t>
      </w:r>
    </w:p>
    <w:bookmarkEnd w:id="22"/>
    <w:bookmarkStart w:id="23" w:name="X13f4b5bc4f6f2f2282036495325cab3cef9a922"/>
    <w:p>
      <w:pPr>
        <w:pStyle w:val="Heading2"/>
      </w:pPr>
      <w:r>
        <w:t xml:space="preserve">Challenges Facing Accountants in Kuwait City</w:t>
      </w:r>
    </w:p>
    <w:p>
      <w:pPr>
        <w:pStyle w:val="FirstParagraph"/>
      </w:pPr>
      <w:r>
        <w:t xml:space="preserve">Despite opportunities, Accountants operating within Kuwait City confront significant challenges. The rapid adoption of AI-driven accounting software demands continuous upskilling—78% of local firms report staff requiring retraining (Kuwait Chamber of Commerce, 2023). Simultaneously, the recent implementation of Kuwait's Value Added Tax (VAT) system has intensified reporting complexities, requiring Accountants to master intricate tax calculations for both domestic and expatriate clients.</w:t>
      </w:r>
    </w:p>
    <w:p>
      <w:pPr>
        <w:pStyle w:val="BodyText"/>
      </w:pPr>
      <w:r>
        <w:t xml:space="preserve">Another critical challenge is talent retention. The high demand for Accountants in Kuwait City leads to aggressive recruitment by major firms like PwC Kuwait and EY Kuwait, often offering 25% higher compensation than local government entities. This creates a skills gap in public sector accounting—a concern highlighted in the Ministry of Finance's recent annual report. Furthermore, cultural expectations sometimes conflict with international best practices; Accountants must balance transparency demands from global partners with traditional business relationship dynamics prevalent across Kuwait City.</w:t>
      </w:r>
    </w:p>
    <w:bookmarkEnd w:id="23"/>
    <w:bookmarkStart w:id="24" w:name="opportunities-for-growth-and-innovation"/>
    <w:p>
      <w:pPr>
        <w:pStyle w:val="Heading2"/>
      </w:pPr>
      <w:r>
        <w:t xml:space="preserve">Opportunities for Growth and Innovation</w:t>
      </w:r>
    </w:p>
    <w:p>
      <w:pPr>
        <w:pStyle w:val="FirstParagraph"/>
      </w:pPr>
      <w:r>
        <w:t xml:space="preserve">These challenges coexist with unprecedented opportunities for Accountants in Kuwait City. The government's push toward fintech innovation has created openings in cryptocurrency accounting, blockchain-based audit trails, and ESG (Environmental, Social, Governance) reporting—fields where Kuwait City leads GCC adoption. For instance, the newly established Kuwait Financial Centre (Kuwait Financial Centre) now mandates sustainability disclosures for all listed entities, requiring Accountants to develop new skill sets.</w:t>
      </w:r>
    </w:p>
    <w:p>
      <w:pPr>
        <w:pStyle w:val="BodyText"/>
      </w:pPr>
      <w:r>
        <w:t xml:space="preserve">Additionally, Kuwait City's strategic location between Asia and Europe positions Accountants to specialize in cross-border transaction accounting. As the nation pursues free trade agreements with India and China, Accountants proficient in both Arabic financial terminology and international commercial law become invaluable assets. The Kuwait City Chamber of Commerce now offers specialized certification programs for Accountants focusing on MENA trade corridors—a testament to the evolving professional requirements.</w:t>
      </w:r>
    </w:p>
    <w:bookmarkEnd w:id="24"/>
    <w:bookmarkStart w:id="25" w:name="conclusion"/>
    <w:p>
      <w:pPr>
        <w:pStyle w:val="Heading2"/>
      </w:pPr>
      <w:r>
        <w:t xml:space="preserve">Conclusion</w:t>
      </w:r>
    </w:p>
    <w:p>
      <w:pPr>
        <w:pStyle w:val="FirstParagraph"/>
      </w:pPr>
      <w:r>
        <w:t xml:space="preserve">This Dissertation confirms that the role of an Accountant in Kuwait City has evolved from a compliance function to a strategic economic catalyst. As Kuwait navigates economic diversification under Vision 2035, Accountants are positioned at the intersection of traditional business practices and global innovation. Their expertise directly impacts investment decisions, regulatory adherence, and national financial stability within Kuwait City.</w:t>
      </w:r>
    </w:p>
    <w:p>
      <w:pPr>
        <w:pStyle w:val="BodyText"/>
      </w:pPr>
      <w:r>
        <w:t xml:space="preserve">Future success hinges on continuous professional development—particularly in digital accounting tools and GCC-specific regulations. Institutions like the College of Business Administration at Kuwait University must strengthen curricula to produce Accountants equipped for these complex demands. Ultimately, a competent Accountant in Kuwait City isn't merely processing transactions but actively shaping the nation's financial resilience and international economic standing. The evolving profession represents a cornerstone of Kuwait's transition toward sustainable prosperity, proving that the modern Accountant is far more than a number cruncher—they are an architect of economic progress within Kuwait City.</w:t>
      </w:r>
    </w:p>
    <w:bookmarkEnd w:id="25"/>
    <w:bookmarkStart w:id="26" w:name="references"/>
    <w:p>
      <w:pPr>
        <w:pStyle w:val="Heading2"/>
      </w:pPr>
      <w:r>
        <w:t xml:space="preserve">References</w:t>
      </w:r>
    </w:p>
    <w:p>
      <w:pPr>
        <w:numPr>
          <w:ilvl w:val="0"/>
          <w:numId w:val="1001"/>
        </w:numPr>
        <w:pStyle w:val="Compact"/>
      </w:pPr>
      <w:r>
        <w:t xml:space="preserve">Kuwait Chamber of Commerce and Industry. (2023). *Professional Accounting Trends Report*.</w:t>
      </w:r>
    </w:p>
    <w:p>
      <w:pPr>
        <w:numPr>
          <w:ilvl w:val="0"/>
          <w:numId w:val="1001"/>
        </w:numPr>
        <w:pStyle w:val="Compact"/>
      </w:pPr>
      <w:r>
        <w:t xml:space="preserve">Ministry of Finance, State of Kuwait. (2024). *Annual Financial Compliance Review*.</w:t>
      </w:r>
    </w:p>
    <w:p>
      <w:pPr>
        <w:numPr>
          <w:ilvl w:val="0"/>
          <w:numId w:val="1001"/>
        </w:numPr>
        <w:pStyle w:val="Compact"/>
      </w:pPr>
      <w:r>
        <w:t xml:space="preserve">Kuwait Society of Accountants (KSA). (2023). *Professional Development Survey: Kuwait City Market*.</w:t>
      </w:r>
    </w:p>
    <w:p>
      <w:pPr>
        <w:numPr>
          <w:ilvl w:val="0"/>
          <w:numId w:val="1001"/>
        </w:numPr>
        <w:pStyle w:val="Compact"/>
      </w:pPr>
      <w:r>
        <w:t xml:space="preserve">Gulf Cooperation Council Secretariat. (2024). *Tax Harmonization Guidelines for GCC States*.</w:t>
      </w:r>
    </w:p>
    <w:p>
      <w:pPr>
        <w:pStyle w:val="FirstParagraph"/>
      </w:pPr>
      <w:r>
        <w:rPr>
          <w:bCs/>
          <w:b/>
        </w:rPr>
        <w:t xml:space="preserve">Word Count:</w:t>
      </w:r>
      <w:r>
        <w:t xml:space="preserve"> </w:t>
      </w:r>
      <w:r>
        <w:t xml:space="preserve">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Accountants in Kuwait City</dc:title>
  <dc:creator/>
  <dc:language>en</dc:language>
  <cp:keywords/>
  <dcterms:created xsi:type="dcterms:W3CDTF">2026-05-02T22:00:00Z</dcterms:created>
  <dcterms:modified xsi:type="dcterms:W3CDTF">2026-05-02T22:00:00Z</dcterms:modified>
</cp:coreProperties>
</file>

<file path=docProps/custom.xml><?xml version="1.0" encoding="utf-8"?>
<Properties xmlns="http://schemas.openxmlformats.org/officeDocument/2006/custom-properties" xmlns:vt="http://schemas.openxmlformats.org/officeDocument/2006/docPropsVTypes"/>
</file>