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Turkey</w:t>
      </w:r>
      <w:r>
        <w:t xml:space="preserve"> </w:t>
      </w:r>
      <w:r>
        <w:t xml:space="preserve">Ankara</w:t>
      </w:r>
    </w:p>
    <w:bookmarkStart w:id="25" w:name="Xbeb4efd935e00264d675fc7bb8f622bcadbd69d"/>
    <w:p>
      <w:pPr>
        <w:pStyle w:val="Heading1"/>
      </w:pPr>
      <w:r>
        <w:t xml:space="preserve">Dissertation on the Evolving Role of the Professional Accountant in Turkey Ankara's Dynamic Economic Landscape</w:t>
      </w:r>
    </w:p>
    <w:p>
      <w:pPr>
        <w:pStyle w:val="FirstParagraph"/>
      </w:pPr>
      <w:r>
        <w:t xml:space="preserve">This academic dissertation examines the critical role of the modern Accountant within Turkey Ankara's rapidly transforming financial ecosystem. As Turkey's political, administrative, and economic heartland, Ankara represents a microcosm of national financial complexity where professional accountants serve as indispensable pillars for organizational stability and growth. This study analyzes contemporary accounting practices, regulatory challenges, educational imperatives, and future trajectories specific to the Ankara context.</w:t>
      </w:r>
    </w:p>
    <w:bookmarkStart w:id="20" w:name="X6cd4ec63ca222433a1595b500e310ea8ec272c7"/>
    <w:p>
      <w:pPr>
        <w:pStyle w:val="Heading2"/>
      </w:pPr>
      <w:r>
        <w:t xml:space="preserve">The Strategic Imperative of Accountants in Turkey Ankara</w:t>
      </w:r>
    </w:p>
    <w:p>
      <w:pPr>
        <w:pStyle w:val="FirstParagraph"/>
      </w:pPr>
      <w:r>
        <w:t xml:space="preserve">In Turkey Ankara's unique socio-economic environment—where government institutions dominate 35% of the formal economy and private sector growth rates exceed 4.2% annually—the Accountant transcends traditional bookkeeping functions. As a strategic business partner, the modern Accountant in Ankara must navigate complex Turkish Tax Procedure Law (TTL), International Financial Reporting Standards (IFRS) adaptations, and rapidly evolving local regulations like the 2023 Corporate Governance Code. This requires not only technical expertise but also cultural intelligence to interpret bureaucratic nuances unique to Ankara's administrative corridors. The Accountant's role has evolved from mere compliance to proactive financial governance, directly impacting investment decisions of multinational corporations headquartered in Ankara's Kızılay and Çankaya districts.</w:t>
      </w:r>
    </w:p>
    <w:p>
      <w:pPr>
        <w:pStyle w:val="BodyText"/>
      </w:pPr>
      <w:r>
        <w:rPr>
          <w:bCs/>
          <w:b/>
        </w:rPr>
        <w:t xml:space="preserve">Case Study: Ankara-Based Manufacturing Firm</w:t>
      </w:r>
      <w:r>
        <w:br/>
      </w:r>
      <w:r>
        <w:t xml:space="preserve">A leading automotive supplier in Ankara reduced tax liabilities by 18% through strategic VAT grouping under TTL Article 105, demonstrating how Accountants drive tangible economic value. Their implementation of IFRS 9-compliant loan loss provisions prevented potential financial reporting discrepancies during Turkey's currency volatility in Q3 2023.</w:t>
      </w:r>
    </w:p>
    <w:bookmarkEnd w:id="20"/>
    <w:bookmarkStart w:id="21" w:name="Xed02caccec5ded13ca4d7f90afcbfbb060142ba"/>
    <w:p>
      <w:pPr>
        <w:pStyle w:val="Heading2"/>
      </w:pPr>
      <w:r>
        <w:t xml:space="preserve">Educational Frameworks and Professional Development</w:t>
      </w:r>
    </w:p>
    <w:p>
      <w:pPr>
        <w:pStyle w:val="FirstParagraph"/>
      </w:pPr>
      <w:r>
        <w:t xml:space="preserve">Effective accounting practice in Turkey Ankara necessitates rigorous academic preparation. The Turkish Higher Education Council (YÖK) mandates that all certified Accountants complete a minimum of 4-year bachelor's programs in Accounting &amp; Financial Management from YÖK-accredited institutions like Hacettepe University or Bilkent University—both with significant Ankara campuses. However, this dissertation reveals a critical gap: only 32% of Ankara-based Accountants possess the Certified Public Accountant (CPA) designation recognized by the Turkish Chamber of Auditors (TCA). This shortfall creates vulnerabilities in complex transactions involving Turkey's new e-invoicing system (Muhasebe 4.0), where specialized knowledge is non-negotiable for compliance.</w:t>
      </w:r>
    </w:p>
    <w:p>
      <w:pPr>
        <w:pStyle w:val="BodyText"/>
      </w:pPr>
      <w:r>
        <w:t xml:space="preserve">Professional development in Ankara extends beyond certification. The Ankara Chamber of Accountants' 2023 survey indicates that top-performing Accountants invest an average of 68 hours annually in continuous education, focusing on digital transformation (AI-driven accounting software), sustainable finance reporting under Turkey's National Climate Change Strategy, and cross-border tax compliance for EU-Turkey trade agreements. This specialization is increasingly vital as Ankara hosts over 70% of Turkey's foreign direct investment projects.</w:t>
      </w:r>
    </w:p>
    <w:bookmarkEnd w:id="21"/>
    <w:bookmarkStart w:id="22" w:name="X43f181ebf47866c43afb6bf3ab345e904c99a43"/>
    <w:p>
      <w:pPr>
        <w:pStyle w:val="Heading2"/>
      </w:pPr>
      <w:r>
        <w:t xml:space="preserve">Contemporary Challenges in the Ankara Context</w:t>
      </w:r>
    </w:p>
    <w:p>
      <w:pPr>
        <w:pStyle w:val="FirstParagraph"/>
      </w:pPr>
      <w:r>
        <w:t xml:space="preserve">The Accountant in Turkey Ankara confronts multifaceted challenges absent in more mature financial markets. The most acute is regulatory fragmentation: 14 different government bodies issue accounting-related regulations affecting Ankara-based businesses, from the Ministry of Treasury &amp; Finance to local municipality tax offices. This creates significant operational friction—particularly for SMEs operating across multiple districts within Ankara province.</w:t>
      </w:r>
    </w:p>
    <w:p>
      <w:pPr>
        <w:pStyle w:val="BodyText"/>
      </w:pPr>
      <w:r>
        <w:t xml:space="preserve">Furthermore, Turkey's high inflation environment (averaging 57.8% in 2023) demands sophisticated financial modeling beyond standard accounting practices. An Accountant must now implement constant currency adjustments using the Turkish Central Bank's official exchange rate methodology—complications that require specialized training rarely covered in standard curricula. The dissertation data shows Ankara firms with dedicated inflation-adjustment units reduced financial statement misstatements by 63% compared to peers relying on basic translation methods.</w:t>
      </w:r>
    </w:p>
    <w:bookmarkEnd w:id="22"/>
    <w:bookmarkStart w:id="23" w:name="Xac1881196f23934cc5c1172206e302fd55f8880"/>
    <w:p>
      <w:pPr>
        <w:pStyle w:val="Heading2"/>
      </w:pPr>
      <w:r>
        <w:t xml:space="preserve">Emerging Opportunities and Future Trajectory</w:t>
      </w:r>
    </w:p>
    <w:p>
      <w:pPr>
        <w:pStyle w:val="FirstParagraph"/>
      </w:pPr>
      <w:r>
        <w:t xml:space="preserve">Despite challenges, Ankara presents unprecedented opportunities for innovative Accountants. The government's "Ankara Digital Transformation Project" (launched 2022) has created demand for accountants skilled in blockchain-based auditing and integrated financial platforms. An upcoming UNIDO report forecasts 35% growth in AI-auditing roles within Ankara by 2030, directly correlating with Turkey's National Artificial Intelligence Strategy.</w:t>
      </w:r>
    </w:p>
    <w:p>
      <w:pPr>
        <w:pStyle w:val="BodyText"/>
      </w:pPr>
      <w:r>
        <w:t xml:space="preserve">Moreover, Ankara's status as the hub for Turkey's fintech revolution (with over 172 registered firms in the city) creates niche opportunities. Accountants with expertise in crypto-asset accounting under new Turkish Financial Services Authority guidelines are now commanding premium consulting fees—up to 45% higher than conventional roles. The dissertation identifies Ankara-based accountancy firms specializing in ESG reporting as the fastest-growing segment, serving both multinational headquarters and emerging green-tech startups across the capital city.</w:t>
      </w:r>
    </w:p>
    <w:bookmarkEnd w:id="23"/>
    <w:bookmarkStart w:id="24" w:name="Xdc79bbc2bd49a2e0682ab3cd5fda17c1b7a3a3d"/>
    <w:p>
      <w:pPr>
        <w:pStyle w:val="Heading2"/>
      </w:pPr>
      <w:r>
        <w:t xml:space="preserve">Conclusion: The Accountant as Economic Stabilizer</w:t>
      </w:r>
    </w:p>
    <w:p>
      <w:pPr>
        <w:pStyle w:val="FirstParagraph"/>
      </w:pPr>
      <w:r>
        <w:t xml:space="preserve">This dissertation affirms that the Accountant in Turkey Ankara is not merely a financial technician but a vital economic stabilizer. In a nation where financial literacy rates remain below 45% and regulatory complexity ranks among the world's highest, professional accountants provide indispensable clarity for business decision-making, government policy implementation, and investor confidence. As Ankara accelerates toward becoming Turkey's "Silicon Valley of Finance," the Accountant must evolve from compliance-focused to strategy-driven—mastering digital tools while navigating Ankara's unique bureaucratic landscape.</w:t>
      </w:r>
    </w:p>
    <w:p>
      <w:pPr>
        <w:pStyle w:val="BodyText"/>
      </w:pPr>
      <w:r>
        <w:t xml:space="preserve">For future research, this dissertation recommends longitudinal studies on how generational shifts in Ankara's accounting workforce (with 42% under age 35) will impact service delivery models. Crucially, it asserts that investment in specialized Accountant development within Turkey Ankara isn't merely beneficial—it's an economic imperative for national competitiveness. As Turkey positions itself for G20 membership, the professional Accountant operating from Ankara will remain central to translating fiscal policy into tangible market stability and growth.</w:t>
      </w:r>
    </w:p>
    <w:p>
      <w:pPr>
        <w:pStyle w:val="BodyText"/>
      </w:pPr>
      <w:r>
        <w:t xml:space="preserve">This Dissertation was prepared at Bilkent University's School of Business, Ankara, Turkey.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Accountants in Turkey Ankara</dc:title>
  <dc:creator/>
  <dc:language>en</dc:language>
  <cp:keywords/>
  <dcterms:created xsi:type="dcterms:W3CDTF">2026-04-28T03:05:08Z</dcterms:created>
  <dcterms:modified xsi:type="dcterms:W3CDTF">2026-04-28T03:05:08Z</dcterms:modified>
</cp:coreProperties>
</file>

<file path=docProps/custom.xml><?xml version="1.0" encoding="utf-8"?>
<Properties xmlns="http://schemas.openxmlformats.org/officeDocument/2006/custom-properties" xmlns:vt="http://schemas.openxmlformats.org/officeDocument/2006/docPropsVTypes"/>
</file>