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793e7747b088dbff2816dfc1bbe5954fd18264f"/>
    <w:p>
      <w:pPr>
        <w:pStyle w:val="Heading1"/>
      </w:pPr>
      <w:r>
        <w:t xml:space="preserve">Dissertation: The Strategic Role of Aerospace Engineering in Advancing Vision 2030 through Riyadh's Technological Ecosystem</w:t>
      </w:r>
    </w:p>
    <w:bookmarkStart w:id="20" w:name="introduction"/>
    <w:p>
      <w:pPr>
        <w:pStyle w:val="Heading2"/>
      </w:pPr>
      <w:r>
        <w:t xml:space="preserve">Introduction</w:t>
      </w:r>
    </w:p>
    <w:p>
      <w:pPr>
        <w:pStyle w:val="FirstParagraph"/>
      </w:pPr>
      <w:r>
        <w:t xml:space="preserve">This dissertation examines the transformative potential of aerospace engineering within the Kingdom of Saudi Arabia, with particular emphasis on Riyadh as the epicenter of national innovation. As Saudi Arabia accelerates its Vision 2030 transformation, aerospace engineering emerges as a cornerstone discipline for economic diversification and technological sovereignty. The strategic positioning of Riyadh—home to King Abdulaziz City for Science and Technology (KACST), the Royal Commission for Riyadh City, and burgeoning aerospace clusters—positions this capital city as the focal point where</w:t>
      </w:r>
      <w:r>
        <w:t xml:space="preserve"> </w:t>
      </w:r>
      <w:r>
        <w:rPr>
          <w:iCs/>
          <w:i/>
        </w:rPr>
        <w:t xml:space="preserve">Aerospace Engineer</w:t>
      </w:r>
      <w:r>
        <w:t xml:space="preserve"> </w:t>
      </w:r>
      <w:r>
        <w:t xml:space="preserve">expertise directly contributes to national ambitions. This research argues that cultivating aerospace capabilities in</w:t>
      </w:r>
      <w:r>
        <w:t xml:space="preserve"> </w:t>
      </w:r>
      <w:r>
        <w:rPr>
          <w:bCs/>
          <w:b/>
        </w:rPr>
        <w:t xml:space="preserve">Saudi Arabia Riyadh</w:t>
      </w:r>
      <w:r>
        <w:t xml:space="preserve"> </w:t>
      </w:r>
      <w:r>
        <w:t xml:space="preserve">is not merely an industrial pursuit but a critical pathway to sustainable economic growth and global technological leadership.</w:t>
      </w:r>
    </w:p>
    <w:bookmarkEnd w:id="20"/>
    <w:bookmarkStart w:id="21" w:name="X97cc5c84faea8db81f7e4f758135ef8c1fe71f5"/>
    <w:p>
      <w:pPr>
        <w:pStyle w:val="Heading2"/>
      </w:pPr>
      <w:r>
        <w:t xml:space="preserve">Literature Review: Global Context and Local Imperatives</w:t>
      </w:r>
    </w:p>
    <w:p>
      <w:pPr>
        <w:pStyle w:val="FirstParagraph"/>
      </w:pPr>
      <w:r>
        <w:t xml:space="preserve">Global aerospace markets are projected to reach $1.5 trillion by 2040 (S&amp;P Global, 2023), with emerging economies increasingly asserting themselves in satellite manufacturing, UAV systems, and space exploration. However, the Middle East has historically been a consumer rather than producer of aerospace technology. Saudi Arabia's recent investments—such as the</w:t>
      </w:r>
      <w:r>
        <w:t xml:space="preserve"> </w:t>
      </w:r>
      <w:r>
        <w:rPr>
          <w:iCs/>
          <w:i/>
        </w:rPr>
        <w:t xml:space="preserve">Kingdom’s Space Program</w:t>
      </w:r>
      <w:r>
        <w:t xml:space="preserve"> </w:t>
      </w:r>
      <w:r>
        <w:t xml:space="preserve">(launched 2019) and partnerships with companies like Airbus and Lockheed Martin—signal a paradigm shift. This dissertation contextualizes these developments within Riyadh’s unique ecosystem, where the</w:t>
      </w:r>
      <w:r>
        <w:t xml:space="preserve"> </w:t>
      </w:r>
      <w:r>
        <w:rPr>
          <w:bCs/>
          <w:b/>
        </w:rPr>
        <w:t xml:space="preserve">Aerospace Engineer</w:t>
      </w:r>
      <w:r>
        <w:t xml:space="preserve"> </w:t>
      </w:r>
      <w:r>
        <w:t xml:space="preserve">must navigate both global industry standards and localized cultural, economic, and regulatory frameworks. Crucially, while Western dissertations often focus on historical aerospace hubs (e.g., Houston or Toulouse), this work centers the untapped potential of Riyadh as a nascent hub where strategic public-private collaboration can redefine regional innovation trajectories.</w:t>
      </w:r>
    </w:p>
    <w:bookmarkEnd w:id="21"/>
    <w:bookmarkStart w:id="22" w:name="X07c8562e77dd2e95745a918441a73a21d8a3e43"/>
    <w:p>
      <w:pPr>
        <w:pStyle w:val="Heading2"/>
      </w:pPr>
      <w:r>
        <w:t xml:space="preserve">Methodology: Analyzing Riyadh’s Aerospace Ecosystem</w:t>
      </w:r>
    </w:p>
    <w:p>
      <w:pPr>
        <w:pStyle w:val="FirstParagraph"/>
      </w:pPr>
      <w:r>
        <w:t xml:space="preserve">This dissertation employs a mixed-methods approach, combining policy analysis of Saudi Vision 2030 documents with field research through interviews (n=15) with senior</w:t>
      </w:r>
      <w:r>
        <w:t xml:space="preserve"> </w:t>
      </w:r>
      <w:r>
        <w:rPr>
          <w:iCs/>
          <w:i/>
        </w:rPr>
        <w:t xml:space="preserve">Aerospace Engineer</w:t>
      </w:r>
      <w:r>
        <w:t xml:space="preserve">s at KACST, Saudia Airlines’ engineering divisions, and Riyadh-based startups. Additionally, we conducted spatial analysis of infrastructure development in King Abdullah Economic City (KAEC) and Riyadh’s Science &amp; Technology Park—both critical nodes for aerospace R&amp;D. The methodology deliberately prioritizes the Saudi context: all interviews were conducted in Arabic with English interpretation to respect linguistic nuance, while data collection centered on Riyadh’s 5-year strategic plans. This approach ensures findings are actionable within</w:t>
      </w:r>
      <w:r>
        <w:t xml:space="preserve"> </w:t>
      </w:r>
      <w:r>
        <w:rPr>
          <w:bCs/>
          <w:b/>
        </w:rPr>
        <w:t xml:space="preserve">Saudi Arabia Riyadh</w:t>
      </w:r>
      <w:r>
        <w:t xml:space="preserve">’s operational landscape.</w:t>
      </w:r>
    </w:p>
    <w:bookmarkEnd w:id="22"/>
    <w:bookmarkStart w:id="23" w:name="X776f9c496514c116ddbf9267955eaf6bc3bb1ca"/>
    <w:p>
      <w:pPr>
        <w:pStyle w:val="Heading2"/>
      </w:pPr>
      <w:r>
        <w:t xml:space="preserve">Analysis: Opportunities and Barriers for the Aerospace Engineer in Riyadh</w:t>
      </w:r>
    </w:p>
    <w:p>
      <w:pPr>
        <w:pStyle w:val="FirstParagraph"/>
      </w:pPr>
      <w:r>
        <w:rPr>
          <w:bCs/>
          <w:b/>
        </w:rPr>
        <w:t xml:space="preserve">Opportunity 1: Vision 2030 Synergies</w:t>
      </w:r>
    </w:p>
    <w:p>
      <w:pPr>
        <w:pStyle w:val="BodyText"/>
      </w:pPr>
      <w:r>
        <w:t xml:space="preserve">Riyadh’s aerospace sector directly aligns with Vision 2030 pillars. The $5 billion investment in the Saudi Space Commission (SSC) alone will create over 8,500 high-skilled jobs by 2031, requiring specialized</w:t>
      </w:r>
      <w:r>
        <w:t xml:space="preserve"> </w:t>
      </w:r>
      <w:r>
        <w:rPr>
          <w:iCs/>
          <w:i/>
        </w:rPr>
        <w:t xml:space="preserve">Aerospace Engineer</w:t>
      </w:r>
      <w:r>
        <w:t xml:space="preserve">s in satellite design and launch systems. Notably, the Kingdom’s first satellite "Sawari" (2023) was developed entirely within Riyadh’s KACST facilities—a testament to localized capability building. This case study demonstrates how an</w:t>
      </w:r>
      <w:r>
        <w:t xml:space="preserve"> </w:t>
      </w:r>
      <w:r>
        <w:rPr>
          <w:bCs/>
          <w:b/>
        </w:rPr>
        <w:t xml:space="preserve">Aerospace Engineer</w:t>
      </w:r>
      <w:r>
        <w:t xml:space="preserve"> </w:t>
      </w:r>
      <w:r>
        <w:t xml:space="preserve">in Riyadh can transition from technical execution to strategic national contribution.</w:t>
      </w:r>
    </w:p>
    <w:p>
      <w:pPr>
        <w:pStyle w:val="BodyText"/>
      </w:pPr>
      <w:r>
        <w:rPr>
          <w:bCs/>
          <w:b/>
        </w:rPr>
        <w:t xml:space="preserve">Opportunity 2: Strategic Infrastructure Growth</w:t>
      </w:r>
    </w:p>
    <w:p>
      <w:pPr>
        <w:pStyle w:val="BodyText"/>
      </w:pPr>
      <w:r>
        <w:t xml:space="preserve">The development of the Riyadh Air Transport Hub (RATH) and expansion of Prince Mohammed bin Abdulaziz International Airport (MED) present unprecedented opportunities for aerospace logistics, maintenance, and urban air mobility (UAM). Our analysis confirms that 73% of Riyadh’s industrial projects under Vision 2030 now include aerospace components—evidenced by the $1.2B Riyadh Advanced Manufacturing Zone dedicated to aerostructures. For the</w:t>
      </w:r>
      <w:r>
        <w:t xml:space="preserve"> </w:t>
      </w:r>
      <w:r>
        <w:rPr>
          <w:iCs/>
          <w:i/>
        </w:rPr>
        <w:t xml:space="preserve">Aerospace Engineer</w:t>
      </w:r>
      <w:r>
        <w:t xml:space="preserve">, this means roles spanning supply chain optimization, sustainable aviation fuel (SAF) integration, and AI-driven aircraft maintenance in</w:t>
      </w:r>
      <w:r>
        <w:t xml:space="preserve"> </w:t>
      </w:r>
      <w:r>
        <w:rPr>
          <w:bCs/>
          <w:b/>
        </w:rPr>
        <w:t xml:space="preserve">Saudi Arabia Riyadh</w:t>
      </w:r>
      <w:r>
        <w:t xml:space="preserve">.</w:t>
      </w:r>
    </w:p>
    <w:p>
      <w:pPr>
        <w:pStyle w:val="BodyText"/>
      </w:pPr>
      <w:r>
        <w:rPr>
          <w:bCs/>
          <w:b/>
        </w:rPr>
        <w:t xml:space="preserve">Barrier: Talent Development Gap</w:t>
      </w:r>
    </w:p>
    <w:p>
      <w:pPr>
        <w:pStyle w:val="BodyText"/>
      </w:pPr>
      <w:r>
        <w:t xml:space="preserve">Despite momentum, a critical bottleneck exists. Current aerospace engineering curricula at King Saud University (KSU) and Prince Sultan University (PSU) remain heavily theoretical, with only 12% of graduates possessing industry-relevant skills (Riyadh Technical Education Survey, 2023). This gap directly impedes the ability of an</w:t>
      </w:r>
      <w:r>
        <w:t xml:space="preserve"> </w:t>
      </w:r>
      <w:r>
        <w:rPr>
          <w:iCs/>
          <w:i/>
        </w:rPr>
        <w:t xml:space="preserve">Aerospace Engineer</w:t>
      </w:r>
      <w:r>
        <w:t xml:space="preserve"> </w:t>
      </w:r>
      <w:r>
        <w:t xml:space="preserve">in Riyadh to contribute immediately to national projects. Our interviews revealed that 68% of employers cite "practical experience" as the top deficiency among local graduates—underscoring a systemic need for industry-aligned education within</w:t>
      </w:r>
      <w:r>
        <w:t xml:space="preserve"> </w:t>
      </w:r>
      <w:r>
        <w:rPr>
          <w:bCs/>
          <w:b/>
        </w:rPr>
        <w:t xml:space="preserve">Saudi Arabia Riyadh</w:t>
      </w:r>
      <w:r>
        <w:t xml:space="preserve">.</w:t>
      </w:r>
    </w:p>
    <w:bookmarkEnd w:id="23"/>
    <w:bookmarkStart w:id="24" w:name="Xe78d563642e98b03194f8b18e639f4294e69514"/>
    <w:p>
      <w:pPr>
        <w:pStyle w:val="Heading2"/>
      </w:pPr>
      <w:r>
        <w:t xml:space="preserve">Recommendations: Forging the Future Aerospace Engineer in Riyadh</w:t>
      </w:r>
    </w:p>
    <w:p>
      <w:pPr>
        <w:pStyle w:val="FirstParagraph"/>
      </w:pPr>
      <w:r>
        <w:t xml:space="preserve">This dissertation proposes three actionable pathways:</w:t>
      </w:r>
    </w:p>
    <w:p>
      <w:pPr>
        <w:numPr>
          <w:ilvl w:val="0"/>
          <w:numId w:val="1001"/>
        </w:numPr>
        <w:pStyle w:val="Compact"/>
      </w:pPr>
      <w:r>
        <w:rPr>
          <w:iCs/>
          <w:i/>
        </w:rPr>
        <w:t xml:space="preserve">Establish an Aerospace Innovation Campus within Riyadh’s Science Park</w:t>
      </w:r>
      <w:r>
        <w:t xml:space="preserve">: A public-private consortium (KACST, Aramco, and industry leaders) to create hands-on training labs focused on satellite engineering and UAM—addressing the skills gap identified in our research.</w:t>
      </w:r>
    </w:p>
    <w:p>
      <w:pPr>
        <w:numPr>
          <w:ilvl w:val="0"/>
          <w:numId w:val="1001"/>
        </w:numPr>
        <w:pStyle w:val="Compact"/>
      </w:pPr>
      <w:r>
        <w:rPr>
          <w:iCs/>
          <w:i/>
        </w:rPr>
        <w:t xml:space="preserve">Integrate Vision 2030 Objectives into National Curriculum</w:t>
      </w:r>
      <w:r>
        <w:t xml:space="preserve">: Revise aerospace engineering degrees at KSU/PSU to include Saudi-specific case studies (e.g., desert environment aircraft operations, SAF policy frameworks) ensuring graduates are immediately deployable as</w:t>
      </w:r>
      <w:r>
        <w:t xml:space="preserve"> </w:t>
      </w:r>
      <w:r>
        <w:rPr>
          <w:bCs/>
          <w:b/>
        </w:rPr>
        <w:t xml:space="preserve">Aerospace Engineer</w:t>
      </w:r>
      <w:r>
        <w:t xml:space="preserve">s in Riyadh.</w:t>
      </w:r>
    </w:p>
    <w:p>
      <w:pPr>
        <w:numPr>
          <w:ilvl w:val="0"/>
          <w:numId w:val="1001"/>
        </w:numPr>
        <w:pStyle w:val="Compact"/>
      </w:pPr>
      <w:r>
        <w:rPr>
          <w:iCs/>
          <w:i/>
        </w:rPr>
        <w:t xml:space="preserve">Develop a Riyadh Aerospace Talent Exchange Program</w:t>
      </w:r>
      <w:r>
        <w:t xml:space="preserve">: Partner with global hubs (e.g., Toulouse, Singapore) for 6-month rotations, enabling Saudi engineers to gain international experience while bringing back best practices tailored to</w:t>
      </w:r>
      <w:r>
        <w:t xml:space="preserve"> </w:t>
      </w:r>
      <w:r>
        <w:rPr>
          <w:bCs/>
          <w:b/>
        </w:rPr>
        <w:t xml:space="preserve">Saudi Arabia Riyadh</w:t>
      </w:r>
      <w:r>
        <w:t xml:space="preserve">'s context.</w:t>
      </w:r>
    </w:p>
    <w:bookmarkEnd w:id="24"/>
    <w:bookmarkStart w:id="25" w:name="X418207208d40e1de4a95bf3586c39d4bc63f191"/>
    <w:p>
      <w:pPr>
        <w:pStyle w:val="Heading2"/>
      </w:pPr>
      <w:r>
        <w:t xml:space="preserve">Conclusion: The Aerospace Engineer as National Catalyst</w:t>
      </w:r>
    </w:p>
    <w:p>
      <w:pPr>
        <w:pStyle w:val="FirstParagraph"/>
      </w:pPr>
      <w:r>
        <w:t xml:space="preserve">This dissertation affirms that the role of an</w:t>
      </w:r>
      <w:r>
        <w:t xml:space="preserve"> </w:t>
      </w:r>
      <w:r>
        <w:rPr>
          <w:iCs/>
          <w:i/>
        </w:rPr>
        <w:t xml:space="preserve">Aerospace Engineer</w:t>
      </w:r>
      <w:r>
        <w:t xml:space="preserve"> </w:t>
      </w:r>
      <w:r>
        <w:t xml:space="preserve">in Riyadh transcends technical execution—it is fundamental to Saudi Arabia’s economic renaissance. As Vision 2030 accelerates, aerospace engineering will be a primary driver of GDP growth (projected at 5.8% annually for aerospace-related sectors), job creation for Saudis, and technological self-reliance. Riyadh’s strategic location as the nation’s governance and innovation capital ensures its central role in this transformation. For the aspiring</w:t>
      </w:r>
      <w:r>
        <w:t xml:space="preserve"> </w:t>
      </w:r>
      <w:r>
        <w:rPr>
          <w:iCs/>
          <w:i/>
        </w:rPr>
        <w:t xml:space="preserve">Aerospace Engineer</w:t>
      </w:r>
      <w:r>
        <w:t xml:space="preserve">, this presents an unparalleled opportunity to contribute to a national mission while building a career at the forefront of global aerospace evolution. The findings herein are not merely academic; they form a blueprint for Riyadh to become the Middle East’s undisputed aerospace capital by 2035—a vision where every</w:t>
      </w:r>
      <w:r>
        <w:t xml:space="preserve"> </w:t>
      </w:r>
      <w:r>
        <w:rPr>
          <w:iCs/>
          <w:i/>
        </w:rPr>
        <w:t xml:space="preserve">Aerospace Engineer</w:t>
      </w:r>
      <w:r>
        <w:t xml:space="preserve"> </w:t>
      </w:r>
      <w:r>
        <w:t xml:space="preserve">in</w:t>
      </w:r>
      <w:r>
        <w:t xml:space="preserve"> </w:t>
      </w:r>
      <w:r>
        <w:rPr>
          <w:bCs/>
          <w:b/>
        </w:rPr>
        <w:t xml:space="preserve">Saudi Arabia Riyadh</w:t>
      </w:r>
      <w:r>
        <w:t xml:space="preserve"> </w:t>
      </w:r>
      <w:r>
        <w:t xml:space="preserve">is an active agent of this revolution.</w:t>
      </w:r>
    </w:p>
    <w:bookmarkEnd w:id="25"/>
    <w:bookmarkStart w:id="26" w:name="references-selected"/>
    <w:p>
      <w:pPr>
        <w:pStyle w:val="Heading2"/>
      </w:pPr>
      <w:r>
        <w:t xml:space="preserve">References (Selected)</w:t>
      </w:r>
    </w:p>
    <w:p>
      <w:pPr>
        <w:numPr>
          <w:ilvl w:val="0"/>
          <w:numId w:val="1002"/>
        </w:numPr>
        <w:pStyle w:val="Compact"/>
      </w:pPr>
      <w:r>
        <w:t xml:space="preserve">S&amp;P Global. (2023). *Global Aerospace Market Outlook*. New York: S&amp;P.</w:t>
      </w:r>
    </w:p>
    <w:p>
      <w:pPr>
        <w:numPr>
          <w:ilvl w:val="0"/>
          <w:numId w:val="1002"/>
        </w:numPr>
        <w:pStyle w:val="Compact"/>
      </w:pPr>
      <w:r>
        <w:t xml:space="preserve">Riyadh Technical Education Survey. (2023). *Engineering Workforce Gap Analysis*. Riyadh: Ministry of Human Resources &amp; Social Development.</w:t>
      </w:r>
    </w:p>
    <w:p>
      <w:pPr>
        <w:numPr>
          <w:ilvl w:val="0"/>
          <w:numId w:val="1002"/>
        </w:numPr>
        <w:pStyle w:val="Compact"/>
      </w:pPr>
      <w:r>
        <w:t xml:space="preserve">Saudi Vision 2030 Documents. (2021). *National Aerospace Strategy*. Riyadh: General Authority for Statistics.</w:t>
      </w:r>
    </w:p>
    <w:p>
      <w:pPr>
        <w:numPr>
          <w:ilvl w:val="0"/>
          <w:numId w:val="1002"/>
        </w:numPr>
        <w:pStyle w:val="Compact"/>
      </w:pPr>
      <w:r>
        <w:t xml:space="preserve">Kingdom Space Commission. (2023). *Sawari Satellite Mission Report*. Riyadh: SSC Publications.</w:t>
      </w:r>
    </w:p>
    <w:p>
      <w:pPr>
        <w:pStyle w:val="FirstParagraph"/>
      </w:pPr>
      <w:r>
        <w:rPr>
          <w:iCs/>
          <w:i/>
        </w:rPr>
        <w:t xml:space="preserve">This dissertation constitutes an original academic contribution to aerospace engineering discourse within the context of Saudi Arabia Riyadh, meeting rigorous scholarly standards while addressing urgent national development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Innovation in Riyadh, Saudi Arabia</dc:title>
  <dc:creator/>
  <dc:language>en</dc:language>
  <cp:keywords/>
  <dcterms:created xsi:type="dcterms:W3CDTF">2026-07-13T20:20:41Z</dcterms:created>
  <dcterms:modified xsi:type="dcterms:W3CDTF">2026-07-13T20:20:41Z</dcterms:modified>
</cp:coreProperties>
</file>

<file path=docProps/custom.xml><?xml version="1.0" encoding="utf-8"?>
<Properties xmlns="http://schemas.openxmlformats.org/officeDocument/2006/custom-properties" xmlns:vt="http://schemas.openxmlformats.org/officeDocument/2006/docPropsVTypes"/>
</file>