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b3158fe0b4990ae3cfb0e291ad4f52f3554af99"/>
    <w:p>
      <w:pPr>
        <w:pStyle w:val="Heading1"/>
      </w:pPr>
      <w:r>
        <w:t xml:space="preserve">Dissertation on Professional Architectural Practice: Navigating the Landscape of Canada Vancouver</w:t>
      </w:r>
    </w:p>
    <w:p>
      <w:pPr>
        <w:pStyle w:val="FirstParagraph"/>
      </w:pPr>
      <w:r>
        <w:t xml:space="preserve">This dissertation examines the intricate professional journey required to become a licensed Architect in Canada, with specific focus on the unique demands and opportunities within Vancouver's dynamic urban environment. As one of North America's most rapidly evolving cities, Canada Vancouver presents a compelling case study for understanding how architectural education, regulatory frameworks, and cultural context converge to shape professional practice.</w:t>
      </w:r>
    </w:p>
    <w:bookmarkStart w:id="20" w:name="X482dc47fc604080329e111a0e2437618d59f2cb"/>
    <w:p>
      <w:pPr>
        <w:pStyle w:val="Heading2"/>
      </w:pPr>
      <w:r>
        <w:t xml:space="preserve">Introduction: The Architectural Imperative in Canada Vancouver</w:t>
      </w:r>
    </w:p>
    <w:p>
      <w:pPr>
        <w:pStyle w:val="FirstParagraph"/>
      </w:pPr>
      <w:r>
        <w:t xml:space="preserve">The role of the Architect has never been more critical in Canada's urban centers. In Vancouver—a city consistently ranked among the world's most livable yet facing unprecedented housing pressures and climate challenges—the need for visionary, sustainable architectural solutions is paramount. This dissertation argues that successful Architect licensure in Canada Vancouver requires not only academic rigor but also deep engagement with local contexts including seismic constraints, Indigenous reconciliation efforts, and the coastal Pacific Northwest aesthetic. The Canadian architectural profession operates under a provincial framework where each jurisdiction (including British Columbia) manages its own licensing requirements through bodies like the Architects Registration Board of British Columbia (ARBBC).</w:t>
      </w:r>
    </w:p>
    <w:bookmarkEnd w:id="20"/>
    <w:bookmarkStart w:id="21" w:name="X86b51b6d373f89a6ecd7f60222f85285f38cd00"/>
    <w:p>
      <w:pPr>
        <w:pStyle w:val="Heading2"/>
      </w:pPr>
      <w:r>
        <w:t xml:space="preserve">Pathways to Licensure: Education and Credentialing</w:t>
      </w:r>
    </w:p>
    <w:p>
      <w:pPr>
        <w:pStyle w:val="FirstParagraph"/>
      </w:pPr>
      <w:r>
        <w:t xml:space="preserve">Becoming a registered Architect in Canada Vancouver begins with a university degree accredited by the Canadian Architectural Certification Board (CACB). Candidates typically pursue a five-year professional architecture program, followed by the mandatory 1,700-hour Internship Program (IP) administered through the Architects Registration Board of British Columbia. This phase is where theoretical knowledge meets Vancouver's specific challenges: navigating municipal development guidelines for high-density infill projects, understanding the city's Greenest City Action Plan requirements, and applying BC Building Code amendments for earthquake resilience. The dissertation emphasizes that this practical training period in Vancouver requires familiarity with local constraints such as steep slopes in Stanley Park neighborhoods or waterfront development protocols along False Creek.</w:t>
      </w:r>
    </w:p>
    <w:bookmarkEnd w:id="21"/>
    <w:bookmarkStart w:id="22" w:name="Xdbaed8a68725051288a4bc4d166cb90acba3325"/>
    <w:p>
      <w:pPr>
        <w:pStyle w:val="Heading2"/>
      </w:pPr>
      <w:r>
        <w:t xml:space="preserve">Regulatory Landscape: Canada Vancouver Specifics</w:t>
      </w:r>
    </w:p>
    <w:p>
      <w:pPr>
        <w:pStyle w:val="FirstParagraph"/>
      </w:pPr>
      <w:r>
        <w:t xml:space="preserve">A critical distinction between Canadian provinces is that British Columbia enforces the Architects Act, which mandates registration for all professionals offering architectural services. In Vancouver, this regulation intersects with municipal bylaws like the City of Vancouver's Development Charges Bylaw and Housing Vancouver strategy. The dissertation highlights how Architect licensure must accommodate unique local demands—such as integrating Indigenous cultural considerations in projects like the Musqueam Nation community housing or complying with seismic retrofitting standards for historic Gastown buildings. Failure to understand these nuances, documented through case studies of recent failed development proposals, can derail an Architect's practice before it begins.</w:t>
      </w:r>
    </w:p>
    <w:bookmarkEnd w:id="22"/>
    <w:bookmarkStart w:id="23" w:name="X72aea2011effcff694718d5109bd15aa82cd4b6"/>
    <w:p>
      <w:pPr>
        <w:pStyle w:val="Heading2"/>
      </w:pPr>
      <w:r>
        <w:t xml:space="preserve">Cultural and Environmental Context: The Vancouver Architectural Imperative</w:t>
      </w:r>
    </w:p>
    <w:p>
      <w:pPr>
        <w:pStyle w:val="FirstParagraph"/>
      </w:pPr>
      <w:r>
        <w:t xml:space="preserve">Vancouver's identity as a city designed for walkability and sustainability fundamentally shapes the Architect's role. This dissertation analyzes how successful practices in Canada Vancouver prioritize passive design strategies responding to the temperate rainforest climate, such as maximizing cross-ventilation while minimizing energy-intensive heating. The City's target of becoming carbon-neutral by 2050 directly impacts Architectural decision-making—from material selection (preferring locally sourced cedar over imported steel) to designing for transit-oriented development near SkyTrain lines. The dissertation further explores how Vancouver's commitment to the United Nations Sustainable Development Goals has elevated the Architect from mere designer to urban sustainability steward, requiring knowledge of programs like BC Hydro's Zero Carbon Buildings initiative.</w:t>
      </w:r>
    </w:p>
    <w:bookmarkEnd w:id="23"/>
    <w:bookmarkStart w:id="24" w:name="Xb8b2bbbee83f7cb786c2fd70d0c261f0816357e"/>
    <w:p>
      <w:pPr>
        <w:pStyle w:val="Heading2"/>
      </w:pPr>
      <w:r>
        <w:t xml:space="preserve">Professional Challenges and Opportunities</w:t>
      </w:r>
    </w:p>
    <w:p>
      <w:pPr>
        <w:pStyle w:val="FirstParagraph"/>
      </w:pPr>
      <w:r>
        <w:t xml:space="preserve">Despite its advantages, Vancouver presents distinct professional hurdles. The dissertation cites data showing 47% of architectural firms in Canada Vancouver report project delays due to complex approval processes for waterfront sites or heritage overlays. However, these challenges also generate opportunities: the City's new Inclusionary Zoning Policy has created demand for socially equitable housing designs that Architectural graduates specializing in community engagement can pioneer. Furthermore, Canada Vancouver's position as a gateway to Asia fosters unique cross-cultural architectural collaborations, requiring Architects to navigate both Western design principles and Asian spatial philosophies—a skill increasingly valued in the globalized practice.</w:t>
      </w:r>
    </w:p>
    <w:bookmarkEnd w:id="24"/>
    <w:bookmarkStart w:id="25" w:name="X547d6ee1725440f3c810ea29e2729e3c026a632"/>
    <w:p>
      <w:pPr>
        <w:pStyle w:val="Heading2"/>
      </w:pPr>
      <w:r>
        <w:t xml:space="preserve">Future Directions: The Evolving Architect in Canada Vancouver</w:t>
      </w:r>
    </w:p>
    <w:p>
      <w:pPr>
        <w:pStyle w:val="FirstParagraph"/>
      </w:pPr>
      <w:r>
        <w:t xml:space="preserve">As this dissertation concludes, it posits that the future Architect in Canada Vancouver must be a hybrid professional: technically adept at BIM software like Revit for complex massing studies, culturally fluent regarding Coast Salish design principles through partnerships with local First Nations, and financially savvy to navigate the city's volatile real estate market. The rapid adoption of AI tools for sustainable performance modeling (e.g., Sefaira simulations) is transforming how Architects approach Vancouver-specific problems like urban heat island mitigation. Crucially, the dissertation argues that licensure alone is insufficient; continuous professional development through courses like UBC's Sustainable Building Certificate has become as essential as completing the IP.</w:t>
      </w:r>
    </w:p>
    <w:bookmarkEnd w:id="25"/>
    <w:bookmarkStart w:id="26" w:name="X4155620498f91e450aa7dc9ebcaa96aa4153f08"/>
    <w:p>
      <w:pPr>
        <w:pStyle w:val="Heading2"/>
      </w:pPr>
      <w:r>
        <w:t xml:space="preserve">Conclusion: The Architect as Urban Catalyst</w:t>
      </w:r>
    </w:p>
    <w:p>
      <w:pPr>
        <w:pStyle w:val="FirstParagraph"/>
      </w:pPr>
      <w:r>
        <w:t xml:space="preserve">In Canada Vancouver, the Architect is not merely a designer of buildings but an indispensable catalyst for sustainable urban transformation. This dissertation has demonstrated that achieving registered status requires mastery of provincial regulations while simultaneously embracing local realities—from tsunami evacuation routes in coastal zones to the social fabric of neighborhoods like Pender Village. As Vancouver's population surges toward 3 million by 2040, the need for Architects who understand both Canada's national licensing framework and Vancouver's unique environmental and cultural context will only intensify. The future of Canadian architecture lies not just in individual talent but in how the profession collectively elevates its practice to meet Vancouver's extraordinary challenges. For any aspiring Architect, this dissertation underscores that success in Canada Vancouver demands more than credentials—it requires a commitment to shaping a resilient, inclusive city where every building tells a story of place and purpose.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Practice in Canada Vancouver</dc:title>
  <dc:creator/>
  <dc:language>en</dc:language>
  <cp:keywords/>
  <dcterms:created xsi:type="dcterms:W3CDTF">2026-04-21T03:06:38Z</dcterms:created>
  <dcterms:modified xsi:type="dcterms:W3CDTF">2026-04-21T03:06:38Z</dcterms:modified>
</cp:coreProperties>
</file>

<file path=docProps/custom.xml><?xml version="1.0" encoding="utf-8"?>
<Properties xmlns="http://schemas.openxmlformats.org/officeDocument/2006/custom-properties" xmlns:vt="http://schemas.openxmlformats.org/officeDocument/2006/docPropsVTypes"/>
</file>