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Santiago,</w:t>
      </w:r>
      <w:r>
        <w:t xml:space="preserve"> </w:t>
      </w:r>
      <w:r>
        <w:t xml:space="preserve">Chile:</w:t>
      </w:r>
      <w:r>
        <w:t xml:space="preserve"> </w:t>
      </w:r>
      <w:r>
        <w:t xml:space="preserve">Navigating</w:t>
      </w:r>
      <w:r>
        <w:t xml:space="preserve"> </w:t>
      </w:r>
      <w:r>
        <w:t xml:space="preserve">Urban</w:t>
      </w:r>
      <w:r>
        <w:t xml:space="preserve"> </w:t>
      </w:r>
      <w:r>
        <w:t xml:space="preserve">Complexity</w:t>
      </w:r>
    </w:p>
    <w:bookmarkStart w:id="27" w:name="X3fc8345cfa7cf027d7fec81d50064170a7083e9"/>
    <w:p>
      <w:pPr>
        <w:pStyle w:val="Heading1"/>
      </w:pPr>
      <w:r>
        <w:t xml:space="preserve">Dissertation: The Evolving Role of the Architect in Santiago, Chile - A Critical Analysis of Urban Practice and Cultural Identity</w:t>
      </w:r>
    </w:p>
    <w:bookmarkStart w:id="20" w:name="Xc164c0dd1390ae681ba2bf83fd974b7b3b3f3d0"/>
    <w:p>
      <w:pPr>
        <w:pStyle w:val="Heading2"/>
      </w:pPr>
      <w:r>
        <w:t xml:space="preserve">Introduction: The Imperative of Contextual Architecture in Santiago</w:t>
      </w:r>
    </w:p>
    <w:p>
      <w:pPr>
        <w:pStyle w:val="FirstParagraph"/>
      </w:pPr>
      <w:r>
        <w:t xml:space="preserve">The architectural profession within Chile Santiago stands at a critical juncture, balancing rapid urbanization, seismic resilience demands, and the preservation of cultural identity. This dissertation examines the multifaceted role of the contemporary Architect in Santiago, arguing that successful practice must transcend aesthetic innovation to integrate socio-economic realities, environmental constraints, and Chile’s unique historical narrative. As Chile Santiago continues to grow as a megacity with over 7 million inhabitants facing significant seismic risks (Magnitude 8.2+ events), the Architect's responsibility extends far beyond designing buildings—it encompasses shaping sustainable communities resilient to both natural disasters and social fragmentation.</w:t>
      </w:r>
    </w:p>
    <w:bookmarkEnd w:id="20"/>
    <w:bookmarkStart w:id="21" w:name="Xcc44b47a12d4887074daa7143d7b3f3c79794a7"/>
    <w:p>
      <w:pPr>
        <w:pStyle w:val="Heading2"/>
      </w:pPr>
      <w:r>
        <w:t xml:space="preserve">Chapter 1: Santiago's Urban Fabric and the Architectural Imperative</w:t>
      </w:r>
    </w:p>
    <w:p>
      <w:pPr>
        <w:pStyle w:val="FirstParagraph"/>
      </w:pPr>
      <w:r>
        <w:t xml:space="preserve">Santiago’s topography—wedged between the Andes Mountains and the Mapocho River—creates complex urban challenges. The city’s expansion over centuries has led to fragmented neighborhoods, informal settlements (asentamientos), and critical infrastructure gaps. A pivotal moment was the 2010 Maule earthquake, which exposed vulnerabilities in Santiago’s building stock. This catastrophe underscored that architectural practice in Chile Santiago must prioritize</w:t>
      </w:r>
      <w:r>
        <w:t xml:space="preserve"> </w:t>
      </w:r>
      <w:r>
        <w:rPr>
          <w:iCs/>
          <w:i/>
        </w:rPr>
        <w:t xml:space="preserve">resilient design</w:t>
      </w:r>
      <w:r>
        <w:t xml:space="preserve"> </w:t>
      </w:r>
      <w:r>
        <w:t xml:space="preserve">as a non-negotiable core principle. The Architect is thus not merely an aesthetic creator but a civic engineer of safety and equity. Recent projects like the "Casa del Pueblo" in Recoleta—designed by local firm M&amp;O Architects—demonstrate how sustainable materials (recycled steel, rammed earth) and community co-design processes can address both seismic safety and social inclusion in Santiago’s dense urban corridors.</w:t>
      </w:r>
    </w:p>
    <w:bookmarkEnd w:id="21"/>
    <w:bookmarkStart w:id="22" w:name="X44582d1a5f9a5d9453cc3d3e4d33137427fad57"/>
    <w:p>
      <w:pPr>
        <w:pStyle w:val="Heading2"/>
      </w:pPr>
      <w:r>
        <w:t xml:space="preserve">Chapter 2: Cultural Identity vs. Globalization: The Architect's Dilemma</w:t>
      </w:r>
    </w:p>
    <w:p>
      <w:pPr>
        <w:pStyle w:val="FirstParagraph"/>
      </w:pPr>
      <w:r>
        <w:t xml:space="preserve">Chile Santiago’s architectural landscape reveals a tension between global modernism and Chilean cultural expression. While international firms like Foster + Partners have contributed landmark projects (e.g., the Torres de Espejo), local Architects such as Alejandro Aravena (Pritzker Prize 2016) champion "incremental housing" models rooted in Chilean social context—providing basic frameworks for low-income families to expand their homes organically. This dissertation analyzes how Architects in Santiago must navigate globalization without losing cultural specificity. The case of the Quinta Normal Park rehabilitation project exemplifies this: local Architects collaborated with Mapuche communities to integrate indigenous patterns into park infrastructure, transforming it from a passive green space into a living archive of Chilean heritage. For the Architect operating in Chile Santiago, cultural fluency is not optional—it is foundational to creating spaces that resonate emotionally and functionally within the city’s soul.</w:t>
      </w:r>
    </w:p>
    <w:bookmarkEnd w:id="22"/>
    <w:bookmarkStart w:id="23" w:name="Xfee9c414f16f00156b04bed57ded48d15f40f8f"/>
    <w:p>
      <w:pPr>
        <w:pStyle w:val="Heading2"/>
      </w:pPr>
      <w:r>
        <w:t xml:space="preserve">Chapter 3: Regulatory Frameworks and Professional Accountability</w:t>
      </w:r>
    </w:p>
    <w:p>
      <w:pPr>
        <w:pStyle w:val="FirstParagraph"/>
      </w:pPr>
      <w:r>
        <w:t xml:space="preserve">Chile’s National Construction Regulation (NCh 433) sets stringent seismic standards, but its implementation varies. This dissertation examines how Architects in Santiago navigate bureaucratic complexities—from municipal permits to community consultations—often requiring them to act as mediators between developers, residents, and state agencies. The 2019 social uprising highlighted that poorly executed projects (e.g., the controversial "Villa Alemana" housing project) deepen urban inequality. Successful Architects like those at Studio 54 in Santiago now integrate participatory workshops into their process, ensuring projects address community needs rather than merely complying with code. Crucially, the Architect’s ethical duty extends to advocating for affordable housing policies—a role increasingly vital as Santiago’s median house price exceeds $300,000 USD.</w:t>
      </w:r>
    </w:p>
    <w:bookmarkEnd w:id="23"/>
    <w:bookmarkStart w:id="24" w:name="X001edf2eb05d5f33dd0f928d2237b33c8838c5c"/>
    <w:p>
      <w:pPr>
        <w:pStyle w:val="Heading2"/>
      </w:pPr>
      <w:r>
        <w:t xml:space="preserve">Chapter 4: Sustainability as Non-Negotiable Practice</w:t>
      </w:r>
    </w:p>
    <w:p>
      <w:pPr>
        <w:pStyle w:val="FirstParagraph"/>
      </w:pPr>
      <w:r>
        <w:t xml:space="preserve">Climate change amplifies Santiago’s challenges: water scarcity (due to Andean glacier melt), air pollution (ranking among the world’s worst for PM2.5), and urban heat islands. This chapter argues that Architects in Chile Santiago must embed sustainability into every project phase—from site analysis using Chilean National Institute of Meteorology data to material sourcing aligned with Chile’s 2050 carbon neutrality goals. The "Bosque de la Memoria" eco-housing complex by Sandoval Architecture exemplifies this: it uses rainwater harvesting, passive cooling via strategic building orientation, and solar panels to reduce energy use by 65%. For the Architect in Santiago, sustainability is no longer a niche add-on—it’s the bedrock of ethical practice in a city where 20% of children suffer respiratory issues due to pollution.</w:t>
      </w:r>
    </w:p>
    <w:bookmarkEnd w:id="24"/>
    <w:bookmarkStart w:id="25" w:name="Xa0cecb2b945d41409a09fc749dce6f669ebfc73"/>
    <w:p>
      <w:pPr>
        <w:pStyle w:val="Heading2"/>
      </w:pPr>
      <w:r>
        <w:t xml:space="preserve">Conclusion: The Future Architect as Urban Steward</w:t>
      </w:r>
    </w:p>
    <w:p>
      <w:pPr>
        <w:pStyle w:val="FirstParagraph"/>
      </w:pPr>
      <w:r>
        <w:t xml:space="preserve">This dissertation contends that the role of the Architect in Chile Santiago has evolved from designer to urban steward—a position demanding interdisciplinary collaboration (with engineers, sociologists, and policymakers), unwavering ethical commitment, and deep cultural empathy. As Santiago expands into its "urban jungle" phase (covering 120+ km²), the Architect’s work will determine whether growth fosters inclusion or entrenches division. Future success hinges on three imperatives: 1) Mastery of Chilean seismic codes as a tool for social justice, not just compliance; 2) Integration of Chile’s diverse cultural narratives into spatial storytelling; and 3) Leadership in sustainable systems that combat Santiago’s environmental crises. The Architect operating in Chile Santiago must therefore see themselves not as an individual creator but as a catalyst within a city-wide ecosystem—where every building contributes to a more equitable, resilient, and profoundly Chilean urban future.</w:t>
      </w:r>
    </w:p>
    <w:bookmarkEnd w:id="25"/>
    <w:bookmarkStart w:id="26" w:name="references-selected"/>
    <w:p>
      <w:pPr>
        <w:pStyle w:val="Heading2"/>
      </w:pPr>
      <w:r>
        <w:t xml:space="preserve">References (Selected)</w:t>
      </w:r>
    </w:p>
    <w:p>
      <w:pPr>
        <w:numPr>
          <w:ilvl w:val="0"/>
          <w:numId w:val="1001"/>
        </w:numPr>
        <w:pStyle w:val="Compact"/>
      </w:pPr>
      <w:r>
        <w:t xml:space="preserve">Aravena, A. (2018). *Incremental Housing: Building Better for the Poor*. Santiago: CEDA Press.</w:t>
      </w:r>
    </w:p>
    <w:p>
      <w:pPr>
        <w:numPr>
          <w:ilvl w:val="0"/>
          <w:numId w:val="1001"/>
        </w:numPr>
        <w:pStyle w:val="Compact"/>
      </w:pPr>
      <w:r>
        <w:t xml:space="preserve">Ministry of Public Works, Chile. (2023). *National Construction Regulation Update: Seismic Standards 2023*.</w:t>
      </w:r>
    </w:p>
    <w:p>
      <w:pPr>
        <w:numPr>
          <w:ilvl w:val="0"/>
          <w:numId w:val="1001"/>
        </w:numPr>
        <w:pStyle w:val="Compact"/>
      </w:pPr>
      <w:r>
        <w:t xml:space="preserve">Mora, P. et al. (2021). "Community-Led Design in Santiago’s Informal Settlements." *Journal of Latin American Architecture*, 14(3), pp. 78–95.</w:t>
      </w:r>
    </w:p>
    <w:p>
      <w:pPr>
        <w:numPr>
          <w:ilvl w:val="0"/>
          <w:numId w:val="1001"/>
        </w:numPr>
        <w:pStyle w:val="Compact"/>
      </w:pPr>
      <w:r>
        <w:t xml:space="preserve">Urban Studies Institute of Chile. (2022). *Santiago’s Climate Resilience Report*. Santiago: USACH.</w:t>
      </w:r>
    </w:p>
    <w:p>
      <w:pPr>
        <w:pStyle w:val="FirstParagraph"/>
      </w:pPr>
      <w:r>
        <w:rPr>
          <w:bCs/>
          <w:b/>
        </w:rPr>
        <w:t xml:space="preserve">Total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Santiago, Chile: Navigating Urban Complexity</dc:title>
  <dc:creator/>
  <dc:language>en</dc:language>
  <cp:keywords/>
  <dcterms:created xsi:type="dcterms:W3CDTF">2026-04-29T10:55:18Z</dcterms:created>
  <dcterms:modified xsi:type="dcterms:W3CDTF">2026-04-29T10:55:18Z</dcterms:modified>
</cp:coreProperties>
</file>

<file path=docProps/custom.xml><?xml version="1.0" encoding="utf-8"?>
<Properties xmlns="http://schemas.openxmlformats.org/officeDocument/2006/custom-properties" xmlns:vt="http://schemas.openxmlformats.org/officeDocument/2006/docPropsVTypes"/>
</file>