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Architect's</w:t>
      </w:r>
      <w:r>
        <w:t xml:space="preserve"> </w:t>
      </w:r>
      <w:r>
        <w:t xml:space="preserve">Role</w:t>
      </w:r>
      <w:r>
        <w:t xml:space="preserve"> </w:t>
      </w:r>
      <w:r>
        <w:t xml:space="preserve">in</w:t>
      </w:r>
      <w:r>
        <w:t xml:space="preserve"> </w:t>
      </w:r>
      <w:r>
        <w:t xml:space="preserve">Shaping</w:t>
      </w:r>
      <w:r>
        <w:t xml:space="preserve"> </w:t>
      </w:r>
      <w:r>
        <w:t xml:space="preserve">Modern</w:t>
      </w:r>
      <w:r>
        <w:t xml:space="preserve"> </w:t>
      </w:r>
      <w:r>
        <w:t xml:space="preserve">China</w:t>
      </w:r>
      <w:r>
        <w:t xml:space="preserve"> </w:t>
      </w:r>
      <w:r>
        <w:t xml:space="preserve">Guangzhou</w:t>
      </w:r>
    </w:p>
    <w:bookmarkStart w:id="26" w:name="Xa4863c2d0a1abc125895f3940db1644aa18cd66"/>
    <w:p>
      <w:pPr>
        <w:pStyle w:val="Heading1"/>
      </w:pPr>
      <w:r>
        <w:t xml:space="preserve">Dissertation on the Evolution and Imperative of the Contemporary Architect in China Guangzhou</w:t>
      </w:r>
    </w:p>
    <w:p>
      <w:pPr>
        <w:pStyle w:val="FirstParagraph"/>
      </w:pPr>
      <w:r>
        <w:t xml:space="preserve">This Dissertation critically examines the multifaceted role of the Architect within the dynamic urban landscape of China Guangzhou, emphasizing how this profession has become indispensable to sustainable, culturally resonant, and economically viable city development. As one of China's most populous metropolises and a pivotal economic hub in Southern China, Guangzhou faces unprecedented challenges and opportunities where the Architect’s expertise directly shapes its global identity. This Dissertation argues that the Architect is not merely a designer of structures but a strategic urban catalyst uniquely positioned to address Guangzhou’s complex needs, from climate resilience to heritage preservation.</w:t>
      </w:r>
    </w:p>
    <w:bookmarkStart w:id="20" w:name="X8ac9f5293d6967ac2e0a2ace07015a2812c427a"/>
    <w:p>
      <w:pPr>
        <w:pStyle w:val="Heading2"/>
      </w:pPr>
      <w:r>
        <w:t xml:space="preserve">Historical Context and Urban Transformation in China Guangzhou</w:t>
      </w:r>
    </w:p>
    <w:p>
      <w:pPr>
        <w:pStyle w:val="FirstParagraph"/>
      </w:pPr>
      <w:r>
        <w:t xml:space="preserve">China Guangzhou’s architectural narrative spans centuries, evolving from traditional Cantonese courtyard homes (Siheyuan) and riverfront mercantile districts to the soaring skyscrapers of the modern era. The city’s rapid urbanization since the 1980s has accelerated this transformation, with Guangzhou’s skyline now dominated by landmarks like the Canton Tower and Guangzhou Opera House. This Dissertation analyzes how each phase demanded a new paradigm for the Architect, moving beyond aesthetic concerns to integrate engineering innovation, cultural sensitivity, and socio-economic planning. The Architect in China Guangzhou must navigate a delicate balance: honoring the city’s heritage as a UNESCO-recognized cultural entity while embracing technological advancement as mandated by national urbanization policies.</w:t>
      </w:r>
    </w:p>
    <w:bookmarkEnd w:id="20"/>
    <w:bookmarkStart w:id="21" w:name="Xb4098505b7c78065bd7297c433d587f3e04dc41"/>
    <w:p>
      <w:pPr>
        <w:pStyle w:val="Heading2"/>
      </w:pPr>
      <w:r>
        <w:t xml:space="preserve">Contemporary Challenges Facing the Architect in China Guangzhou</w:t>
      </w:r>
    </w:p>
    <w:p>
      <w:pPr>
        <w:pStyle w:val="FirstParagraph"/>
      </w:pPr>
      <w:r>
        <w:t xml:space="preserve">Today, the Architect operating within China Guangzhou confronts unique pressures. The city’s vulnerability to climate change—exacerbated by sea-level rise and extreme rainfall—demands that every new project incorporate adaptive resilience. This Dissertation highlights a case study of the Liwan District redevelopment, where Architects pioneered "sponge city" infrastructure to manage urban flooding, proving that sustainable design is non-negotiable. Simultaneously, Guangzhou’s status as a key Belt and Road Initiative node necessitates buildings that facilitate international commerce without eroding local identity. The Architect must therefore master dual competencies: technical mastery of green building certifications (like China’s Green Building Label) and deep understanding of Cantonese social dynamics to ensure community acceptance.</w:t>
      </w:r>
    </w:p>
    <w:bookmarkEnd w:id="21"/>
    <w:bookmarkStart w:id="22" w:name="Xcbcf92bad0d2e5858f6713c468ae973bf4b0710"/>
    <w:p>
      <w:pPr>
        <w:pStyle w:val="Heading2"/>
      </w:pPr>
      <w:r>
        <w:t xml:space="preserve">Cultural Synthesis: Where the Architect Meets Tradition</w:t>
      </w:r>
    </w:p>
    <w:p>
      <w:pPr>
        <w:pStyle w:val="FirstParagraph"/>
      </w:pPr>
      <w:r>
        <w:t xml:space="preserve">A critical differentiator for the Architect in China Guangzhou is cultural integration. This Dissertation emphasizes that successful projects—such as the Guangdong Museum by Mecanoo or the Sun Yat-sen Memorial Hall restoration—succeed not by replicating tradition but through innovative reinterpretation. The Architect must decouple "Chinese" from "Guangzhou-specific," weaving motifs like ceramic tilework (a local craft) into contemporary facades or designing public plazas that honor traditional market rhythms. As Guangzhou’s population becomes increasingly cosmopolitan, the Architect also serves as a bridge between global design trends and local ethos, ensuring buildings do not feel imported but authentically Guangzhou.</w:t>
      </w:r>
    </w:p>
    <w:bookmarkEnd w:id="22"/>
    <w:bookmarkStart w:id="23" w:name="Xa17896be2418c816ae8877d872ff1228390f72f"/>
    <w:p>
      <w:pPr>
        <w:pStyle w:val="Heading2"/>
      </w:pPr>
      <w:r>
        <w:t xml:space="preserve">Policy Alignment and Strategic Imperatives</w:t>
      </w:r>
    </w:p>
    <w:p>
      <w:pPr>
        <w:pStyle w:val="FirstParagraph"/>
      </w:pPr>
      <w:r>
        <w:t xml:space="preserve">The Chinese government’s 14th Five-Year Plan explicitly prioritizes high-quality urban development in cities like Guangzhou, creating a policy ecosystem where the Architect’s role is institutionalized. This Dissertation details how national directives (e.g., "New Urbanization Strategy") translate to local action: Architects now lead cross-departmental task forces on public health infrastructure or low-carbon transit corridors. In Guangzhou, this has resulted in landmark projects like the Haizhu District Smart City Pilot, where the Architect coordinated AI-driven energy grids with community housing needs. The Dissertation contends that without a proactive Architect at policy implementation’s core, China Guangzhou cannot achieve its goal of becoming a "global city of innovation."</w:t>
      </w:r>
    </w:p>
    <w:bookmarkEnd w:id="23"/>
    <w:bookmarkStart w:id="24" w:name="Xcb62184c7f69f49150c754d1ee9637bc0227cc0"/>
    <w:p>
      <w:pPr>
        <w:pStyle w:val="Heading2"/>
      </w:pPr>
      <w:r>
        <w:t xml:space="preserve">Future Trajectories: The Architect as Urban Steward</w:t>
      </w:r>
    </w:p>
    <w:p>
      <w:pPr>
        <w:pStyle w:val="FirstParagraph"/>
      </w:pPr>
      <w:r>
        <w:t xml:space="preserve">Looking ahead, this Dissertation forecasts the Architect’s evolving mandate in China Guangzhou. With rising land costs and population density, Architects will increasingly focus on vertical urbanism—designing mixed-use towers that house residences, offices, and community gardens to combat suburban sprawl. Crucially, the Architect must also champion social equity; as seen in recent affordable housing projects like the Panyu District resettlement units. Guangzhou’s upcoming 2035 Master Plan further elevates this role by embedding Architects into municipal governance bodies. This Dissertation concludes that the Architect is no longer a contractor but an urban steward whose decisions determine whether China Guangzhou thrives as a model of 21st-century sustainable city-making.</w:t>
      </w:r>
    </w:p>
    <w:bookmarkEnd w:id="24"/>
    <w:bookmarkStart w:id="25" w:name="conclusion-the-unifying-imperative"/>
    <w:p>
      <w:pPr>
        <w:pStyle w:val="Heading2"/>
      </w:pPr>
      <w:r>
        <w:t xml:space="preserve">Conclusion: The Unifying Imperative</w:t>
      </w:r>
    </w:p>
    <w:p>
      <w:pPr>
        <w:pStyle w:val="FirstParagraph"/>
      </w:pPr>
      <w:r>
        <w:t xml:space="preserve">In summary, this Dissertation establishes that the Architect is the linchpin of China Guangzhou’s urban future. From climate adaptation to cultural continuity and policy execution, every dimension of Guangzhou’s development hinges on the Architect’s strategic vision. As China Guangzhou continues to redefine its place in global urbanism, this Dissertation asserts that investing in Architectural excellence—through education, cross-sector collaboration, and policy support—is not optional but existential. The Architect must be empowered to transcend building codes and become the city’s most vital advocate for a livable, resilient, and distinctly Guangzhou identity. For China Guangzhou to fulfill its promise as a world-class metropolis by 2050, the Architect’s role will remain irreplaceable.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Architect's Role in Shaping Modern China Guangzhou</dc:title>
  <dc:creator/>
  <dc:language>en</dc:language>
  <cp:keywords/>
  <dcterms:created xsi:type="dcterms:W3CDTF">2026-07-14T05:21:10Z</dcterms:created>
  <dcterms:modified xsi:type="dcterms:W3CDTF">2026-07-14T05:21:10Z</dcterms:modified>
</cp:coreProperties>
</file>

<file path=docProps/custom.xml><?xml version="1.0" encoding="utf-8"?>
<Properties xmlns="http://schemas.openxmlformats.org/officeDocument/2006/custom-properties" xmlns:vt="http://schemas.openxmlformats.org/officeDocument/2006/docPropsVTypes"/>
</file>