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cd5ff0cbd3d4da79fc3292b2cfce9a9a08bbd50"/>
    <w:p>
      <w:pPr>
        <w:pStyle w:val="Heading1"/>
      </w:pPr>
      <w:r>
        <w:t xml:space="preserve">The Architect in New Zealand Auckland: Navigating Context, Culture, and Climate for Sustainable Urban Futures</w:t>
      </w:r>
    </w:p>
    <w:bookmarkStart w:id="20" w:name="abstract"/>
    <w:p>
      <w:pPr>
        <w:pStyle w:val="Heading2"/>
      </w:pPr>
      <w:r>
        <w:t xml:space="preserve">Abstract</w:t>
      </w:r>
    </w:p>
    <w:p>
      <w:pPr>
        <w:pStyle w:val="FirstParagraph"/>
      </w:pPr>
      <w:r>
        <w:t xml:space="preserve">This dissertation examines the evolving role of the Architect within the unique urban, environmental, and cultural landscape of New Zealand Auckland. As one of the fastest-growing cities in Australasia, Auckland presents distinct challenges requiring Architects to integrate seismic resilience, Māori cultural principles (whakapapa), and sustainable practices into every project. This research synthesizes current architectural practice frameworks in New Zealand with Auckland's specific demands, arguing that the modern Architect in New Zealand Auckland must transcend traditional design roles to become a holistic urban steward. The findings underscore how contextual awareness—not merely technical skill—is paramount for creating meaningful built environments in this dynamic city.</w:t>
      </w:r>
    </w:p>
    <w:bookmarkEnd w:id="20"/>
    <w:bookmarkStart w:id="21" w:name="X8f56bfbd5ed3381ee2e024765a11e4782f0e7c3"/>
    <w:p>
      <w:pPr>
        <w:pStyle w:val="Heading2"/>
      </w:pPr>
      <w:r>
        <w:t xml:space="preserve">Introduction: Defining the Architect's Imperative in New Zealand Auckland</w:t>
      </w:r>
    </w:p>
    <w:p>
      <w:pPr>
        <w:pStyle w:val="FirstParagraph"/>
      </w:pPr>
      <w:r>
        <w:t xml:space="preserve">The title of "Architect" carries profound significance within the regulatory and professional landscape of New Zealand. In Auckland, the largest urban centre and economic engine of New Zealand, this role is not merely about aesthetics but about navigating complex layers: tectonic activity (Auckland sits atop a dormant volcanic field), rapidly diversifying communities, and urgent climate adaptation needs. This dissertation asserts that the Architect operating within New Zealand Auckland must embody three critical attributes: technical mastery of seismic codes, deep respect for Indigenous Māori knowledge systems, and proactive engagement with regional sustainability imperatives. Failure to integrate these dimensions renders architectural practice in this context incomplete.</w:t>
      </w:r>
    </w:p>
    <w:bookmarkEnd w:id="21"/>
    <w:bookmarkStart w:id="22" w:name="X931c6aaa9d4c40cb76d424ec64be2c8de706320"/>
    <w:p>
      <w:pPr>
        <w:pStyle w:val="Heading2"/>
      </w:pPr>
      <w:r>
        <w:t xml:space="preserve">Professional Context: The Unique Demands on the Architect</w:t>
      </w:r>
    </w:p>
    <w:p>
      <w:pPr>
        <w:pStyle w:val="FirstParagraph"/>
      </w:pPr>
      <w:r>
        <w:t xml:space="preserve">The New Zealand Architectural Profession is regulated by the New Zealand Registered Architects Board (NZRAB), requiring rigorous education, practical experience, and ongoing professional development. However, Auckland amplifies these requirements. The city's vulnerability to earthquakes necessitates that every Architect in New Zealand Auckland must possess advanced knowledge of the New Zealand Building Code (Section 1.3: Seismic Performance) and innovative engineering solutions—such as base isolators or timber hybrid systems—far beyond standard practice elsewhere. Simultaneously, the Treaty of Waitangi settlement framework mandates meaningful consultation with local iwi (Māori tribes), making cultural sensitivity non-negotiable for the Architect in New Zealand Auckland. Projects like the redevelopment of Te Papa Tongarewa Museum required Architects to collaborate with Ngāti Toa and other iwi to embed Māori cosmology into spatial narratives, demonstrating how identity shapes place-making.</w:t>
      </w:r>
    </w:p>
    <w:bookmarkEnd w:id="22"/>
    <w:bookmarkStart w:id="23" w:name="X87337758a5e6693197cc48e65cb413c6dee815a"/>
    <w:p>
      <w:pPr>
        <w:pStyle w:val="Heading2"/>
      </w:pPr>
      <w:r>
        <w:t xml:space="preserve">Case Study: The Urban Fabric of Auckland's Central Business District</w:t>
      </w:r>
    </w:p>
    <w:p>
      <w:pPr>
        <w:pStyle w:val="FirstParagraph"/>
      </w:pPr>
      <w:r>
        <w:t xml:space="preserve">Auckland’s CBD exemplifies the Architect's multifaceted role. With high-density housing demands and limited space, Architects must champion infill development that preserves heritage (e.g., adaptive reuse of historic 19th-century warehouses) while meeting contemporary needs. The recent "Aotea Square" revitalization project, led by an NZIA-registered Architect team, integrated Māori waka (canoe) motifs into public plazas and employed cross-laminated timber for carbon-neutral construction—directly addressing New Zealand’s 2050 emissions targets. Crucially, the Architect facilitated community workshops with local Māori elders to ensure cultural appropriateness of public art installations. This case illustrates how a competent Architect in New Zealand Auckland transcends drawing plans; they become a catalyst for social cohesion and environmental responsibility.</w:t>
      </w:r>
    </w:p>
    <w:bookmarkEnd w:id="23"/>
    <w:bookmarkStart w:id="24" w:name="challenges-beyond-the-blueprint"/>
    <w:p>
      <w:pPr>
        <w:pStyle w:val="Heading2"/>
      </w:pPr>
      <w:r>
        <w:t xml:space="preserve">Challenges: Beyond the Blueprint</w:t>
      </w:r>
    </w:p>
    <w:p>
      <w:pPr>
        <w:pStyle w:val="FirstParagraph"/>
      </w:pPr>
      <w:r>
        <w:t xml:space="preserve">Three persistent challenges define the Architect's work in New Zealand Auckland:</w:t>
      </w:r>
    </w:p>
    <w:p>
      <w:pPr>
        <w:numPr>
          <w:ilvl w:val="0"/>
          <w:numId w:val="1001"/>
        </w:numPr>
        <w:pStyle w:val="Compact"/>
      </w:pPr>
      <w:r>
        <w:rPr>
          <w:bCs/>
          <w:b/>
        </w:rPr>
        <w:t xml:space="preserve">Seismic Uncertainty:</w:t>
      </w:r>
      <w:r>
        <w:t xml:space="preserve"> </w:t>
      </w:r>
      <w:r>
        <w:t xml:space="preserve">The 2016 Kaikōura earthquake exposed vulnerabilities, compelling Architects to innovate with resilient materials and retrofitting strategies specific to Auckland’s soil conditions.</w:t>
      </w:r>
    </w:p>
    <w:p>
      <w:pPr>
        <w:numPr>
          <w:ilvl w:val="0"/>
          <w:numId w:val="1001"/>
        </w:numPr>
        <w:pStyle w:val="Compact"/>
      </w:pPr>
      <w:r>
        <w:rPr>
          <w:bCs/>
          <w:b/>
        </w:rPr>
        <w:t xml:space="preserve">Cultural Integration:</w:t>
      </w:r>
      <w:r>
        <w:t xml:space="preserve"> </w:t>
      </w:r>
      <w:r>
        <w:t xml:space="preserve">Moving beyond tokenism, Architects must authentically embed Māori design philosophies (e.g., the concept of "kaitiakitanga" – guardianship of natural resources) into project DNA, not just decorative elements.</w:t>
      </w:r>
    </w:p>
    <w:p>
      <w:pPr>
        <w:numPr>
          <w:ilvl w:val="0"/>
          <w:numId w:val="1001"/>
        </w:numPr>
        <w:pStyle w:val="Compact"/>
      </w:pPr>
      <w:r>
        <w:rPr>
          <w:bCs/>
          <w:b/>
        </w:rPr>
        <w:t xml:space="preserve">Climate Resilience:</w:t>
      </w:r>
      <w:r>
        <w:t xml:space="preserve"> </w:t>
      </w:r>
      <w:r>
        <w:t xml:space="preserve">Rising sea levels threaten Auckland’s coastal suburbs. Architects must now prioritize flood-adaptive designs—such as elevated structures and permeable landscapes—as standard practice, aligning with New Zealand’s Climate Change Response Act.</w:t>
      </w:r>
    </w:p>
    <w:bookmarkEnd w:id="24"/>
    <w:bookmarkStart w:id="25" w:name="X47ddc934ae660c5fb2681903faef1c94471a15c"/>
    <w:p>
      <w:pPr>
        <w:pStyle w:val="Heading2"/>
      </w:pPr>
      <w:r>
        <w:t xml:space="preserve">The Future: An Evolving Architect for New Zealand Auckland</w:t>
      </w:r>
    </w:p>
    <w:p>
      <w:pPr>
        <w:pStyle w:val="FirstParagraph"/>
      </w:pPr>
      <w:r>
        <w:t xml:space="preserve">Looking ahead, the Architect in New Zealand Auckland will increasingly need to be a systems thinker. Emerging trends include AI-driven energy modeling for net-zero buildings, community-led design co-creation with Pasifika and Māori communities, and "green infrastructure" integration (e.g., urban forests as flood barriers). The 2023 Auckland Unitary Plan further elevates the Architect’s role by prioritizing mixed-use developments that reduce car dependency. For this dissertation, it is clear that the future Architect in New Zealand Auckland cannot operate in isolation; they must collaborate with engineers, iwi representatives, climate scientists, and community advocates to deliver projects that are not just structurally sound but culturally resonant and ecologically regenerative.</w:t>
      </w:r>
    </w:p>
    <w:bookmarkEnd w:id="25"/>
    <w:bookmarkStart w:id="26" w:name="conclusion"/>
    <w:p>
      <w:pPr>
        <w:pStyle w:val="Heading2"/>
      </w:pPr>
      <w:r>
        <w:t xml:space="preserve">Conclusion</w:t>
      </w:r>
    </w:p>
    <w:p>
      <w:pPr>
        <w:pStyle w:val="FirstParagraph"/>
      </w:pPr>
      <w:r>
        <w:t xml:space="preserve">This dissertation reaffirms that the Architect is central to New Zealand Auckland’s sustainable urban evolution. The title "Architect" in this context signifies a professional whose expertise is intrinsically tied to place—Auckland’s geology, its people, and its future. Success requires moving beyond technical compliance to embrace a role as an ethical guide for resilient communities. As the city expands towards 2 million residents by 2050, the Architect in New Zealand Auckland will determine whether growth translates into vibrant equity or unsustainable strain. The path forward demands that all Architects operating within New Zealand Auckland commit not only to designing buildings but to cultivating places where culture thrives, nature is respected, and every citizen belongs. This dissertation underscores that excellence in architectural practice for New Zealand Auckland is not a luxury—it is the foundation of a thriving urban future.</w:t>
      </w:r>
    </w:p>
    <w:bookmarkEnd w:id="26"/>
    <w:bookmarkStart w:id="27" w:name="references-illustrative"/>
    <w:p>
      <w:pPr>
        <w:pStyle w:val="Heading2"/>
      </w:pPr>
      <w:r>
        <w:t xml:space="preserve">References (Illustrative)</w:t>
      </w:r>
    </w:p>
    <w:p>
      <w:pPr>
        <w:pStyle w:val="FirstParagraph"/>
      </w:pPr>
      <w:r>
        <w:t xml:space="preserve">• New Zealand Registered Architects Board. (2023). *Professional Conduct Guidelines*. Wellington.</w:t>
      </w:r>
      <w:r>
        <w:br/>
      </w:r>
      <w:r>
        <w:t xml:space="preserve">• Ministry for the Environment. (2021). *New Zealand Climate Change Policy*. Wellington.</w:t>
      </w:r>
      <w:r>
        <w:br/>
      </w:r>
      <w:r>
        <w:t xml:space="preserve">• Te Papa Tongarewa Museum of New Zealand. (2019). *Cultural Consultation Framework: Aotearoa Case Study*.</w:t>
      </w:r>
      <w:r>
        <w:br/>
      </w:r>
      <w:r>
        <w:t xml:space="preserve">• Auckland Council. (2023). *Auckland Unitary Plan, Part 7: Design and Heritage*.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New Zealand Auckland</dc:title>
  <dc:creator/>
  <dc:language>en</dc:language>
  <cp:keywords/>
  <dcterms:created xsi:type="dcterms:W3CDTF">2026-07-23T05:30:48Z</dcterms:created>
  <dcterms:modified xsi:type="dcterms:W3CDTF">2026-07-23T05:30:48Z</dcterms:modified>
</cp:coreProperties>
</file>

<file path=docProps/custom.xml><?xml version="1.0" encoding="utf-8"?>
<Properties xmlns="http://schemas.openxmlformats.org/officeDocument/2006/custom-properties" xmlns:vt="http://schemas.openxmlformats.org/officeDocument/2006/docPropsVTypes"/>
</file>