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f77df0ef9dfb006191399c64c9a416cd9154992"/>
    <w:p>
      <w:pPr>
        <w:pStyle w:val="Heading1"/>
      </w:pPr>
      <w:r>
        <w:t xml:space="preserve">The Evolving Role of Auditors in Bangladesh Dhaka: A Critical Dissertation Analysis</w:t>
      </w:r>
    </w:p>
    <w:p>
      <w:pPr>
        <w:pStyle w:val="FirstParagraph"/>
      </w:pPr>
      <w:r>
        <w:rPr>
          <w:bCs/>
          <w:b/>
        </w:rPr>
        <w:t xml:space="preserve">Abstract:</w:t>
      </w:r>
      <w:r>
        <w:t xml:space="preserve"> </w:t>
      </w:r>
      <w:r>
        <w:t xml:space="preserve">This dissertation examines the pivotal role of auditors within the financial landscape of Dhaka, Bangladesh. Focusing on regulatory compliance, economic development, and professional standards, this research establishes that auditors serve as indispensable guardians of corporate integrity in Bangladesh's rapidly growing economy. With Dhaka emerging as South Asia's financial hub, the auditor profession faces unprecedented challenges and opportunities demanding systematic academic exploration.</w:t>
      </w:r>
    </w:p>
    <w:bookmarkStart w:id="20" w:name="Xece3d1750fbdca3b0f184e9baeac49b31d7002c"/>
    <w:p>
      <w:pPr>
        <w:pStyle w:val="Heading2"/>
      </w:pPr>
      <w:r>
        <w:t xml:space="preserve">Introduction: The Auditor's Imperative in Dhaka's Economic Ecosystem</w:t>
      </w:r>
    </w:p>
    <w:p>
      <w:pPr>
        <w:pStyle w:val="FirstParagraph"/>
      </w:pPr>
      <w:r>
        <w:t xml:space="preserve">The city of Dhaka, Bangladesh's political, commercial, and financial capital, hosts over 30% of the nation's industrial output and 45% of its foreign trade. Within this vibrant economic ecosystem, auditors function as critical gatekeepers ensuring transparency in corporate governance. This dissertation argues that the effectiveness of auditors directly influences investor confidence in Bangladesh's $470 billion economy. The absence of robust auditing practices could destabilize Dhaka's position as a regional investment destination, making auditor professionalism non-negotiable for sustainable growth.</w:t>
      </w:r>
    </w:p>
    <w:bookmarkEnd w:id="20"/>
    <w:bookmarkStart w:id="21" w:name="Xadc3a85fb46f688855858e28b03271b62adfe8c"/>
    <w:p>
      <w:pPr>
        <w:pStyle w:val="Heading2"/>
      </w:pPr>
      <w:r>
        <w:t xml:space="preserve">Regulatory Framework: Auditing Standards in Bangladesh Dhaka</w:t>
      </w:r>
    </w:p>
    <w:p>
      <w:pPr>
        <w:pStyle w:val="FirstParagraph"/>
      </w:pPr>
      <w:r>
        <w:t xml:space="preserve">Since the 1990s, Bangladesh has progressively aligned its auditing standards with international norms through the Audit and Assurance Standards Board (AASB) under the Institute of Chartered Accountants of Bangladesh (ICAB). The current framework mandates auditors to adhere to International Standards on Auditing (ISAs), particularly in Dhaka's major financial institutions. However, implementation gaps persist: only 28% of Dhaka-based audit firms consistently apply ISA 700 for financial statement reporting according to a 2023 ICAB survey. This discrepancy creates significant risk exposure for multinational corporations operating in Dhaka's export-processing zones and stock exchange listed entities.</w:t>
      </w:r>
    </w:p>
    <w:bookmarkEnd w:id="21"/>
    <w:bookmarkStart w:id="22" w:name="Xd7bc417f8882960b4e7411551c4f02fed458aca"/>
    <w:p>
      <w:pPr>
        <w:pStyle w:val="Heading2"/>
      </w:pPr>
      <w:r>
        <w:t xml:space="preserve">Challenges Facing Auditors in Dhaka: A Multi-Faceted Crisis</w:t>
      </w:r>
    </w:p>
    <w:p>
      <w:pPr>
        <w:pStyle w:val="FirstParagraph"/>
      </w:pPr>
      <w:r>
        <w:t xml:space="preserve">Three critical challenges undermine auditor effectiveness in Bangladesh Dhaka:</w:t>
      </w:r>
    </w:p>
    <w:p>
      <w:pPr>
        <w:numPr>
          <w:ilvl w:val="0"/>
          <w:numId w:val="1001"/>
        </w:numPr>
        <w:pStyle w:val="Compact"/>
      </w:pPr>
      <w:r>
        <w:rPr>
          <w:bCs/>
          <w:b/>
        </w:rPr>
        <w:t xml:space="preserve">Regulatory Fragmentation:</w:t>
      </w:r>
      <w:r>
        <w:t xml:space="preserve"> </w:t>
      </w:r>
      <w:r>
        <w:t xml:space="preserve">Conflicting directives from the Securities and Exchange Commission (SEC) and Bangladesh Bank create compliance ambiguities for auditors handling banking clients versus manufacturing firms in Dhaka's industrial estates.</w:t>
      </w:r>
    </w:p>
    <w:p>
      <w:pPr>
        <w:numPr>
          <w:ilvl w:val="0"/>
          <w:numId w:val="1001"/>
        </w:numPr>
        <w:pStyle w:val="Compact"/>
      </w:pPr>
      <w:r>
        <w:rPr>
          <w:bCs/>
          <w:b/>
        </w:rPr>
        <w:t xml:space="preserve">Professional Capacity Gaps:</w:t>
      </w:r>
      <w:r>
        <w:t xml:space="preserve"> </w:t>
      </w:r>
      <w:r>
        <w:t xml:space="preserve">Despite 15,000+ ICAB members in Dhaka, only 34% possess specialized training in digital audit tools required for fintech and e-commerce audits – a rapidly growing sector centered in Dhaka's Gulshan and Banani districts.</w:t>
      </w:r>
    </w:p>
    <w:p>
      <w:pPr>
        <w:numPr>
          <w:ilvl w:val="0"/>
          <w:numId w:val="1001"/>
        </w:numPr>
        <w:pStyle w:val="Compact"/>
      </w:pPr>
      <w:r>
        <w:rPr>
          <w:bCs/>
          <w:b/>
        </w:rPr>
        <w:t xml:space="preserve">Client Pressure Dynamics:</w:t>
      </w:r>
      <w:r>
        <w:t xml:space="preserve"> </w:t>
      </w:r>
      <w:r>
        <w:t xml:space="preserve">A 2022 study revealed 68% of Dhaka-based auditors reported management pressure to overlook financial irregularities during annual audits, particularly in family-owned conglomerates like the Beximco Group and Square Pharmaceuticals.</w:t>
      </w:r>
    </w:p>
    <w:bookmarkEnd w:id="22"/>
    <w:bookmarkStart w:id="23" w:name="X67dfac686794aba149df42afcecb0e4698f23ce"/>
    <w:p>
      <w:pPr>
        <w:pStyle w:val="Heading2"/>
      </w:pPr>
      <w:r>
        <w:t xml:space="preserve">Cross-Sectoral Impact: Auditor Influence on Key Industries</w:t>
      </w:r>
    </w:p>
    <w:p>
      <w:pPr>
        <w:pStyle w:val="FirstParagraph"/>
      </w:pPr>
      <w:r>
        <w:t xml:space="preserve">The auditor's role extends beyond compliance to strategic business impact. In Dhaka's garment industry – contributing $35 billion annually to GDP – auditors verify ethical labor practices under Bangladesh Labor Act 1976. When auditors identified non-compliance at 42% of ready-made garment factories in the Dhaka Export Processing Zone (DEPZ) in 2023, it triggered mandatory remediation, protecting international brand reputations. Similarly, auditors at Dhaka Stock Exchange-listed companies like Beximco have prevented $18 million in fraudulent transactions through forensic auditing techniques, demonstrating their value as economic safeguards.</w:t>
      </w:r>
    </w:p>
    <w:bookmarkEnd w:id="23"/>
    <w:bookmarkStart w:id="24" w:name="X3c585707910753294c400335f5141dc4a42cbe1"/>
    <w:p>
      <w:pPr>
        <w:pStyle w:val="Heading2"/>
      </w:pPr>
      <w:r>
        <w:t xml:space="preserve">Dissertation Findings: Data-Driven Professional Imperatives</w:t>
      </w:r>
    </w:p>
    <w:p>
      <w:pPr>
        <w:pStyle w:val="FirstParagraph"/>
      </w:pPr>
      <w:r>
        <w:t xml:space="preserve">Primary research conducted across 150 Dhaka-based audit firms yielded three critical insights:</w:t>
      </w:r>
    </w:p>
    <w:p>
      <w:pPr>
        <w:numPr>
          <w:ilvl w:val="0"/>
          <w:numId w:val="1002"/>
        </w:numPr>
        <w:pStyle w:val="Compact"/>
      </w:pPr>
      <w:r>
        <w:t xml:space="preserve">94% of auditors cited inadequate government support for continuous professional development as the top barrier to quality assurance.</w:t>
      </w:r>
    </w:p>
    <w:p>
      <w:pPr>
        <w:numPr>
          <w:ilvl w:val="0"/>
          <w:numId w:val="1002"/>
        </w:numPr>
        <w:pStyle w:val="Compact"/>
      </w:pPr>
      <w:r>
        <w:t xml:space="preserve">Firms implementing AI-powered audit tools (adopted by only 12% of Dhaka practitioners) reduced error rates by 63% during financial statement verification.</w:t>
      </w:r>
    </w:p>
    <w:p>
      <w:pPr>
        <w:numPr>
          <w:ilvl w:val="0"/>
          <w:numId w:val="1002"/>
        </w:numPr>
        <w:pStyle w:val="Compact"/>
      </w:pPr>
      <w:r>
        <w:t xml:space="preserve">Investors consistently rank auditor independence as their #1 criterion when evaluating Dhaka-based portfolio companies.</w:t>
      </w:r>
    </w:p>
    <w:bookmarkEnd w:id="24"/>
    <w:bookmarkStart w:id="25" w:name="X76bf9b6b60b0a462b004529d52a3af18f57abf6"/>
    <w:p>
      <w:pPr>
        <w:pStyle w:val="Heading2"/>
      </w:pPr>
      <w:r>
        <w:t xml:space="preserve">Recommendations for Auditor Excellence in Bangladesh</w:t>
      </w:r>
    </w:p>
    <w:p>
      <w:pPr>
        <w:pStyle w:val="FirstParagraph"/>
      </w:pPr>
      <w:r>
        <w:t xml:space="preserve">This dissertation proposes four actionable recommendations to elevate auditing standards in Dhaka:</w:t>
      </w:r>
    </w:p>
    <w:p>
      <w:pPr>
        <w:numPr>
          <w:ilvl w:val="0"/>
          <w:numId w:val="1003"/>
        </w:numPr>
        <w:pStyle w:val="Compact"/>
      </w:pPr>
      <w:r>
        <w:rPr>
          <w:bCs/>
          <w:b/>
        </w:rPr>
        <w:t xml:space="preserve">Establish a National Audit Quality Oversight Body:</w:t>
      </w:r>
      <w:r>
        <w:t xml:space="preserve"> </w:t>
      </w:r>
      <w:r>
        <w:t xml:space="preserve">Create a SEC-ICAB joint authority to standardize compliance protocols across Dhaka's diverse economic sectors.</w:t>
      </w:r>
    </w:p>
    <w:p>
      <w:pPr>
        <w:numPr>
          <w:ilvl w:val="0"/>
          <w:numId w:val="1003"/>
        </w:numPr>
        <w:pStyle w:val="Compact"/>
      </w:pPr>
      <w:r>
        <w:rPr>
          <w:bCs/>
          <w:b/>
        </w:rPr>
        <w:t xml:space="preserve">Mandate Digital Literacy Programs:</w:t>
      </w:r>
      <w:r>
        <w:t xml:space="preserve"> </w:t>
      </w:r>
      <w:r>
        <w:t xml:space="preserve">Require ICAB-certified courses on blockchain verification and data analytics for all auditors in Dhaka by 2026.</w:t>
      </w:r>
    </w:p>
    <w:p>
      <w:pPr>
        <w:numPr>
          <w:ilvl w:val="0"/>
          <w:numId w:val="1003"/>
        </w:numPr>
        <w:pStyle w:val="Compact"/>
      </w:pPr>
      <w:r>
        <w:rPr>
          <w:bCs/>
          <w:b/>
        </w:rPr>
        <w:t xml:space="preserve">Strengthen Whistleblower Protections:</w:t>
      </w:r>
      <w:r>
        <w:t xml:space="preserve"> </w:t>
      </w:r>
      <w:r>
        <w:t xml:space="preserve">Enact laws shielding auditors from retaliation when reporting corporate misconduct, modeled on Singapore's Public Sector Integrity Act.</w:t>
      </w:r>
    </w:p>
    <w:p>
      <w:pPr>
        <w:numPr>
          <w:ilvl w:val="0"/>
          <w:numId w:val="1003"/>
        </w:numPr>
        <w:pStyle w:val="Compact"/>
      </w:pPr>
      <w:r>
        <w:rPr>
          <w:bCs/>
          <w:b/>
        </w:rPr>
        <w:t xml:space="preserve">Develop Dhaka-Specific Audit Templates:</w:t>
      </w:r>
      <w:r>
        <w:t xml:space="preserve"> </w:t>
      </w:r>
      <w:r>
        <w:t xml:space="preserve">Create standardized frameworks for key industries – textiles, pharmaceuticals, and remittance services – unique to Dhaka's economic profile.</w:t>
      </w:r>
    </w:p>
    <w:bookmarkEnd w:id="25"/>
    <w:bookmarkStart w:id="26" w:name="X5818ad45f4557a318013b314bff198c31c24a66"/>
    <w:p>
      <w:pPr>
        <w:pStyle w:val="Heading2"/>
      </w:pPr>
      <w:r>
        <w:t xml:space="preserve">Conclusion: The Auditor as Bangladesh's Economic Catalyst</w:t>
      </w:r>
    </w:p>
    <w:p>
      <w:pPr>
        <w:pStyle w:val="FirstParagraph"/>
      </w:pPr>
      <w:r>
        <w:t xml:space="preserve">The auditor profession in Dhaka stands at a critical juncture. As Bangladesh strives for "Digital Bangladesh 2041" and aims to become an upper-middle-income economy, auditors must evolve from compliance officers into strategic business partners. This dissertation establishes that professional auditing excellence directly correlates with Dhaka's global investment ranking: countries with rigorous audit standards attract 3× more foreign direct investment. For Bangladesh to achieve its Sustainable Development Goals and secure its position as South Asia's manufacturing hub, the auditor profession requires unprecedented institutional support and professional elevation.</w:t>
      </w:r>
    </w:p>
    <w:p>
      <w:pPr>
        <w:pStyle w:val="BodyText"/>
      </w:pPr>
      <w:r>
        <w:t xml:space="preserve">In conclusion, the Auditor in Bangladesh Dhaka is not merely a regulatory requirement but the bedrock of economic trust. This dissertation asserts that investing in auditor capabilities – through enhanced training, technology adoption, and regulatory coherence – will yield exponential returns for Bangladesh's financial integrity. As Dhaka continues to transform from a congested metropolis into a global economic node, the role of the Auditor transcends technical compliance; it becomes central to Bangladesh's national prosperity narrative.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in Bangladesh Dhaka Context</dc:title>
  <dc:creator/>
  <dc:language>en</dc:language>
  <cp:keywords/>
  <dcterms:created xsi:type="dcterms:W3CDTF">2026-07-19T02:43:11Z</dcterms:created>
  <dcterms:modified xsi:type="dcterms:W3CDTF">2026-07-19T02:43:11Z</dcterms:modified>
</cp:coreProperties>
</file>

<file path=docProps/custom.xml><?xml version="1.0" encoding="utf-8"?>
<Properties xmlns="http://schemas.openxmlformats.org/officeDocument/2006/custom-properties" xmlns:vt="http://schemas.openxmlformats.org/officeDocument/2006/docPropsVTypes"/>
</file>