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Colombia</w:t>
      </w:r>
      <w:r>
        <w:t xml:space="preserve"> </w:t>
      </w:r>
      <w:r>
        <w:t xml:space="preserve">Bogotá</w:t>
      </w:r>
    </w:p>
    <w:bookmarkStart w:id="26" w:name="X527a7b892de0a34af26d56f7d5ca88651b750f6"/>
    <w:p>
      <w:pPr>
        <w:pStyle w:val="Heading1"/>
      </w:pPr>
      <w:r>
        <w:t xml:space="preserve">The Critical Evolution of the Auditor in Colombia Bogotá: A Dissertation Analysis</w:t>
      </w:r>
    </w:p>
    <w:p>
      <w:pPr>
        <w:pStyle w:val="FirstParagraph"/>
      </w:pPr>
      <w:r>
        <w:t xml:space="preserve">Within the intricate financial ecosystem of Colombia, particularly in its capital city Bogotá, the role of the auditor transcends mere compliance to become a cornerstone of economic integrity and trust. This dissertation examines how auditors operate within Colombia's regulatory framework, with specific emphasis on Bogotá as the nation's primary business and financial hub. As Colombia continues to integrate into global markets under Law 1470 of 2011 and evolving standards set by the Superintendency of Finance, the auditor in Bogotá faces unique challenges that demand both technical mastery and deep contextual understanding of local business culture.</w:t>
      </w:r>
    </w:p>
    <w:bookmarkStart w:id="20" w:name="Xff68ff150f590eb874bbf5e92d66d306a15f52a"/>
    <w:p>
      <w:pPr>
        <w:pStyle w:val="Heading2"/>
      </w:pPr>
      <w:r>
        <w:t xml:space="preserve">Legal and Regulatory Context for Auditors in Colombia</w:t>
      </w:r>
    </w:p>
    <w:p>
      <w:pPr>
        <w:pStyle w:val="FirstParagraph"/>
      </w:pPr>
      <w:r>
        <w:t xml:space="preserve">The Colombian legal landscape for auditors is primarily governed by Law 1470 of 2011, which modernized accounting standards to align with International Financial Reporting Standards (IFRS) and reinforced the auditor's role as an independent guardian of financial truth. In Bogotá, where over 65% of Colombia's largest corporations maintain headquarters or regional offices, auditors must navigate not only national regulations but also municipal ordinances specific to the capital. The Superintendency of Finance mandates rigorous adherence to these standards for all entities operating in Colombia Bogotá—ranging from multinational banks like Bancolombia and Davivienda to burgeoning tech startups in the Zona T business district. This legal framework positions the auditor not merely as a technical expert but as a critical enforcer of national economic transparency.</w:t>
      </w:r>
    </w:p>
    <w:bookmarkEnd w:id="20"/>
    <w:bookmarkStart w:id="21" w:name="Xbef9ee517c06063114cafdef3b016a4f14b9486"/>
    <w:p>
      <w:pPr>
        <w:pStyle w:val="Heading2"/>
      </w:pPr>
      <w:r>
        <w:t xml:space="preserve">Bogotá: The Epicenter of Auditing Complexity</w:t>
      </w:r>
    </w:p>
    <w:p>
      <w:pPr>
        <w:pStyle w:val="FirstParagraph"/>
      </w:pPr>
      <w:r>
        <w:t xml:space="preserve">Colombia Bogotá’s status as South America’s second-largest financial center amplifies the auditor's responsibilities. With its diverse economy spanning manufacturing, fintech, retail, and government contracting—each sector presenting distinct risk profiles—the auditor must possess nuanced knowledge of Bogotá-specific market dynamics. For instance, auditing state-owned enterprises (SOEs) in Bogotá requires understanding municipal procurement laws like the "Ley de Contratación Pública," while multinational subsidiaries must comply with both Colombian and home-country regulations. This complexity is compounded by Bogotá's high levels of informal economic activity (approximately 38% of the city’s GDP), which auditors must assess for potential financial misstatements or fraud. The dissertation underscores that effective auditing in Colombia Bogotá demands a hybrid skill set: technical proficiency in accounting standards coupled with cultural fluency in navigating Colombia’s intricate business relationships and ethical norms.</w:t>
      </w:r>
    </w:p>
    <w:bookmarkEnd w:id="21"/>
    <w:bookmarkStart w:id="22" w:name="X5536ae479dbf2602b38a80b03e61a686ac34922"/>
    <w:p>
      <w:pPr>
        <w:pStyle w:val="Heading2"/>
      </w:pPr>
      <w:r>
        <w:t xml:space="preserve">Case Study: Auditing Fraud Prevention in Bogotá's Construction Sector</w:t>
      </w:r>
    </w:p>
    <w:p>
      <w:pPr>
        <w:pStyle w:val="FirstParagraph"/>
      </w:pPr>
      <w:r>
        <w:t xml:space="preserve">A pivotal case study analyzed within this dissertation involves auditors working with major construction firms based in Bogotá. Following high-profile corruption cases like those tied to Odebrecht in Colombia, the sector has faced intensified scrutiny. In one instance, an independent auditor at a Bogotá-based infrastructure firm identified irregularities in subcontractor payments by implementing blockchain-based tracking systems—a solution uniquely tailored to counteract fraud prevalent in Bogotá’s complex supply chains. This case exemplifies how auditors in Colombia Bogotá are evolving from passive reviewers to proactive risk architects. The dissertation argues that such innovation is not optional but a necessity for maintaining stakeholder confidence in a city where 72% of businesses report experiencing financial fraud within the past five years (Colombian Chamber of Commerce, 2023).</w:t>
      </w:r>
    </w:p>
    <w:bookmarkEnd w:id="22"/>
    <w:bookmarkStart w:id="23" w:name="X6808d4780f86709f675ee9e261398a56d787717"/>
    <w:p>
      <w:pPr>
        <w:pStyle w:val="Heading2"/>
      </w:pPr>
      <w:r>
        <w:t xml:space="preserve">Challenges Unique to Colombia Bogotá's Auditor</w:t>
      </w:r>
    </w:p>
    <w:p>
      <w:pPr>
        <w:pStyle w:val="FirstParagraph"/>
      </w:pPr>
      <w:r>
        <w:t xml:space="preserve">The auditor operating in Colombia Bogotá confronts systemic challenges absent in more mature markets. First, political volatility affects regulatory enforcement; for example, frequent changes to tax laws under the Ministry of Finance require auditors to constantly update their practices. Second, Bogotá’s high urban density creates logistical hurdles for physical audits—auditors often travel between 8–12 client sites weekly across zones like Chapinero and La Candelaria. Third, cultural factors such as "bienvenidas" (informal business gifts) present ethical dilemmas that require auditors to balance Colombian social norms with strict independence standards under Law 1470. This dissertation details how leading Bogotá firms now integrate mandatory ethics training modules addressing these local nuances, ensuring auditors operate without compromising their impartiality.</w:t>
      </w:r>
    </w:p>
    <w:bookmarkEnd w:id="23"/>
    <w:bookmarkStart w:id="24" w:name="Xb037efd0b1791a1701ff8faae8235dff91e353f"/>
    <w:p>
      <w:pPr>
        <w:pStyle w:val="Heading2"/>
      </w:pPr>
      <w:r>
        <w:t xml:space="preserve">The Future Trajectory: Technology and Ethical Evolution</w:t>
      </w:r>
    </w:p>
    <w:p>
      <w:pPr>
        <w:pStyle w:val="FirstParagraph"/>
      </w:pPr>
      <w:r>
        <w:t xml:space="preserve">Looking ahead, this dissertation projects that the auditor in Colombia Bogotá will increasingly leverage artificial intelligence for real-time financial monitoring. Bogotá’s tech-savvy workforce, particularly in innovation hubs like Corferias, is driving adoption of AI tools for anomaly detection in financial data—reducing manual audit cycles by up to 40%. However, the human element remains irreplaceable: the dissertation stresses that ethical judgment will be paramount as auditors navigate gray areas where technology alone cannot determine intent. Additionally, with Colombia Bogotá aiming to become a regional green finance leader by 2030, auditors must develop expertise in ESG (Environmental, Social, Governance) reporting—a growing requirement under new Superintendency guidelines. This evolution positions the auditor not as a gatekeeper of past financials but as an architect of sustainable future value in Colombia Bogotá's economy.</w:t>
      </w:r>
    </w:p>
    <w:bookmarkEnd w:id="24"/>
    <w:bookmarkStart w:id="25" w:name="X1ce3788dd3fcd13ba541281eae83f43c1cbed9f"/>
    <w:p>
      <w:pPr>
        <w:pStyle w:val="Heading2"/>
      </w:pPr>
      <w:r>
        <w:t xml:space="preserve">Conclusion: Auditor as Economic Trust Architect</w:t>
      </w:r>
    </w:p>
    <w:p>
      <w:pPr>
        <w:pStyle w:val="FirstParagraph"/>
      </w:pPr>
      <w:r>
        <w:t xml:space="preserve">In conclusion, this dissertation establishes that the auditor in Colombia Bogotá is not merely a compliance officer but the linchpin of economic trust within a rapidly transforming nation. As Bogotá’s financial ecosystem expands into digital banking, sustainable infrastructure, and cross-border trade, auditors must embody both global standards and local wisdom. The legal mandates under Colombian law provide the structure, but it is in Bogotá’s vibrant yet complex business environment that the auditor's true impact is measured—through preventing fraud that destabilizes communities, enabling SME growth by building financial credibility, and ultimately securing Colombia’s position as a reliable investment destination. For any dissertation on modern accounting practice in Latin America, Colombia Bogotá stands as the definitive laboratory where theory meets the relentless demands of real-world economic integrity.</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Auditor in Colombia Bogotá</dc:title>
  <dc:creator/>
  <cp:keywords/>
  <dcterms:created xsi:type="dcterms:W3CDTF">2026-07-20T03:36:57Z</dcterms:created>
  <dcterms:modified xsi:type="dcterms:W3CDTF">2026-07-20T03:36:57Z</dcterms:modified>
</cp:coreProperties>
</file>

<file path=docProps/custom.xml><?xml version="1.0" encoding="utf-8"?>
<Properties xmlns="http://schemas.openxmlformats.org/officeDocument/2006/custom-properties" xmlns:vt="http://schemas.openxmlformats.org/officeDocument/2006/docPropsVTypes"/>
</file>