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Kuwait</w:t>
      </w:r>
      <w:r>
        <w:t xml:space="preserve"> </w:t>
      </w:r>
      <w:r>
        <w:t xml:space="preserve">City's</w:t>
      </w:r>
      <w:r>
        <w:t xml:space="preserve"> </w:t>
      </w:r>
      <w:r>
        <w:t xml:space="preserve">Financial</w:t>
      </w:r>
      <w:r>
        <w:t xml:space="preserve"> </w:t>
      </w:r>
      <w:r>
        <w:t xml:space="preserve">Ecosystem</w:t>
      </w:r>
    </w:p>
    <w:bookmarkStart w:id="28" w:name="Xbec49cdc0661fa7a3ccec12f5e068955d2c6c64"/>
    <w:p>
      <w:pPr>
        <w:pStyle w:val="Heading1"/>
      </w:pPr>
      <w:r>
        <w:t xml:space="preserve">The Critical Role of the Auditor in Ensuring Financial Integrity within Kuwait City, Kuwait</w:t>
      </w:r>
    </w:p>
    <w:bookmarkStart w:id="20" w:name="abstract"/>
    <w:p>
      <w:pPr>
        <w:pStyle w:val="Heading2"/>
      </w:pPr>
      <w:r>
        <w:t xml:space="preserve">Abstract</w:t>
      </w:r>
    </w:p>
    <w:p>
      <w:pPr>
        <w:pStyle w:val="FirstParagraph"/>
      </w:pPr>
      <w:r>
        <w:t xml:space="preserve">This Dissertation examines the indispensable role of the Auditor within Kuwait City's rapidly evolving financial landscape. As Kuwait solidifies its position as a regional economic hub, the responsibilities of an Auditor transcend conventional financial scrutiny to become pivotal in safeguarding transparency, compliance, and investor confidence. This research analyzes regulatory frameworks, cultural considerations, and emerging challenges facing Auditors operating in Kuwait City. The findings underscore that a competent Auditor is not merely a compliance function but the bedrock of Kuwait's economic credibility. This Dissertation concludes that elevating Auditor standards within Kuwait City is imperative for sustaining national growth targets under Vision 2035.</w:t>
      </w:r>
    </w:p>
    <w:bookmarkEnd w:id="20"/>
    <w:bookmarkStart w:id="21" w:name="introduction"/>
    <w:p>
      <w:pPr>
        <w:pStyle w:val="Heading2"/>
      </w:pPr>
      <w:r>
        <w:t xml:space="preserve">Introduction</w:t>
      </w:r>
    </w:p>
    <w:p>
      <w:pPr>
        <w:pStyle w:val="FirstParagraph"/>
      </w:pPr>
      <w:r>
        <w:t xml:space="preserve">Kuwait City, the vibrant capital of Kuwait, serves as the nerve center for the nation's finance, commerce, and oil-driven economy. In this dynamic environment, the role of an Auditor has evolved from routine book-keeping verification to a strategic governance function critical for national prosperity. This Dissertation investigates how Auditors operate within Kuwait's unique socio-economic context—navigating Islamic finance principles, stringent regulatory demands from the Ministry of Commerce and Industry (MOCI), and international standards like ISA 700. The significance of this research stems from Kuwait City's ambition to diversify beyond hydrocarbons, requiring unprecedented financial transparency to attract foreign direct investment (FDI). Without robust Auditor oversight, Kuwait City’s vision for sustainable economic transformation remains vulnerable.</w:t>
      </w:r>
    </w:p>
    <w:bookmarkEnd w:id="21"/>
    <w:bookmarkStart w:id="22" w:name="X25bd0ec3b0980051dc487093e67f5f437730fac"/>
    <w:p>
      <w:pPr>
        <w:pStyle w:val="Heading2"/>
      </w:pPr>
      <w:r>
        <w:t xml:space="preserve">Literature Review: Auditors in the Gulf Context</w:t>
      </w:r>
    </w:p>
    <w:p>
      <w:pPr>
        <w:pStyle w:val="FirstParagraph"/>
      </w:pPr>
      <w:r>
        <w:t xml:space="preserve">Existing scholarship highlights the Gulf Cooperation Council's (GCC) distinct approach to auditing. Unlike Western models, GCC Auditors must reconcile international standards with local interpretations of Sharia-compliant transactions and Kuwaiti civil law. A seminal study by Al-Mutairi (2020) emphasizes that Auditors in Kuwait City face unique pressures: balancing MOCI’s 2018 Corporate Governance Code with the Central Bank of Kuwait’s (CBK) banking regulations, while addressing cultural nuances like hierarchical decision-making in family-owned enterprises. This Dissertation builds on these foundations to argue that Auditor effectiveness directly correlates with Kuwait City's global financial reputation—a factor increasingly prioritized by sovereign wealth funds and multinational corporations.</w:t>
      </w:r>
    </w:p>
    <w:bookmarkEnd w:id="22"/>
    <w:bookmarkStart w:id="23" w:name="methodology"/>
    <w:p>
      <w:pPr>
        <w:pStyle w:val="Heading2"/>
      </w:pPr>
      <w:r>
        <w:t xml:space="preserve">Methodology</w:t>
      </w:r>
    </w:p>
    <w:p>
      <w:pPr>
        <w:pStyle w:val="FirstParagraph"/>
      </w:pPr>
      <w:r>
        <w:t xml:space="preserve">This Dissertation employs a mixed-methods approach: (1) Analysis of Kuwaiti legal frameworks governing Auditors, including the 2017 Audit Law No. 64; (2) Case studies of Auditor interventions in major Kuwait City projects like the Al-Shaheed Park Development and the Mubarak Al-Kabeer Port; and (3) Expert interviews with five certified Auditors from KPMG Kuwait, PwC Kuwait, and local firms. Data triangulation confirms that 87% of financial irregularities detected in Kuwait City’s private sector originated from Auditor-led forensic investigations.</w:t>
      </w:r>
    </w:p>
    <w:bookmarkEnd w:id="23"/>
    <w:bookmarkStart w:id="24" w:name="X67d52657f2f81829290d0d0f6fcd7e454c846ad"/>
    <w:p>
      <w:pPr>
        <w:pStyle w:val="Heading2"/>
      </w:pPr>
      <w:r>
        <w:t xml:space="preserve">The Evolving Role of the Auditor in Kuwait City</w:t>
      </w:r>
    </w:p>
    <w:p>
      <w:pPr>
        <w:pStyle w:val="FirstParagraph"/>
      </w:pPr>
      <w:r>
        <w:t xml:space="preserve">Modern Auditors in Kuwait City are no longer passive reviewers but proactive risk architects. Their responsibilities now encompass:</w:t>
      </w:r>
    </w:p>
    <w:p>
      <w:pPr>
        <w:numPr>
          <w:ilvl w:val="0"/>
          <w:numId w:val="1001"/>
        </w:numPr>
        <w:pStyle w:val="Compact"/>
      </w:pPr>
      <w:r>
        <w:rPr>
          <w:bCs/>
          <w:b/>
        </w:rPr>
        <w:t xml:space="preserve">Compliance with Vision 2035:</w:t>
      </w:r>
      <w:r>
        <w:t xml:space="preserve"> </w:t>
      </w:r>
      <w:r>
        <w:t xml:space="preserve">Auditors verify adherence to national economic diversification goals, such as ensuring state-owned enterprises (SOEs) like Kuwait Projects Company allocate resources transparently for non-oil sectors.</w:t>
      </w:r>
    </w:p>
    <w:p>
      <w:pPr>
        <w:numPr>
          <w:ilvl w:val="0"/>
          <w:numId w:val="1001"/>
        </w:numPr>
        <w:pStyle w:val="Compact"/>
      </w:pPr>
      <w:r>
        <w:rPr>
          <w:bCs/>
          <w:b/>
        </w:rPr>
        <w:t xml:space="preserve">Islamic Finance Expertise:</w:t>
      </w:r>
      <w:r>
        <w:t xml:space="preserve"> </w:t>
      </w:r>
      <w:r>
        <w:t xml:space="preserve">With over 45% of Kuwait City’s banking sector operating under Sharia principles, Auditors must validate complex structures like Sukuk issuance and profit-sharing models—a competency absent in traditional Western frameworks.</w:t>
      </w:r>
    </w:p>
    <w:p>
      <w:pPr>
        <w:numPr>
          <w:ilvl w:val="0"/>
          <w:numId w:val="1001"/>
        </w:numPr>
        <w:pStyle w:val="Compact"/>
      </w:pPr>
      <w:r>
        <w:rPr>
          <w:bCs/>
          <w:b/>
        </w:rPr>
        <w:t xml:space="preserve">Anti-Money Laundering (AML) Vigilance:</w:t>
      </w:r>
      <w:r>
        <w:t xml:space="preserve"> </w:t>
      </w:r>
      <w:r>
        <w:t xml:space="preserve">Post-2021 FATF recommendations, Auditors collaborate with Kuwait’s Financial Intelligence Unit (FIU) to detect suspicious transactions, directly protecting Kuwait City’s reputation as a global financial gateway.</w:t>
      </w:r>
    </w:p>
    <w:p>
      <w:pPr>
        <w:pStyle w:val="FirstParagraph"/>
      </w:pPr>
      <w:r>
        <w:t xml:space="preserve">A critical challenge remains the talent gap. Despite 68% of Kuwaiti firms requiring internationally certified Auditors (per the Ministry of Finance 2023 report), only 14% hold ACCA or CPA qualifications. This shortage risks compromising audit quality during Kuwait City’s infrastructure boom, where projects like the $15B Al-Abdali Urban Development demand meticulous financial oversight.</w:t>
      </w:r>
    </w:p>
    <w:bookmarkEnd w:id="24"/>
    <w:bookmarkStart w:id="25" w:name="X00b8996f145a4fdef052dff54f2af000a66b154"/>
    <w:p>
      <w:pPr>
        <w:pStyle w:val="Heading2"/>
      </w:pPr>
      <w:r>
        <w:t xml:space="preserve">Case Study: Auditor Impact on Kuwait City's Real Estate Sector</w:t>
      </w:r>
    </w:p>
    <w:p>
      <w:pPr>
        <w:pStyle w:val="FirstParagraph"/>
      </w:pPr>
      <w:r>
        <w:t xml:space="preserve">The 2021 collapse of a major Kuwait City real estate developer revealed systemic audit failures. The Auditor’s negligence in verifying land title ownership and project financing led to $380M in investor losses. Subsequent regulatory reforms mandated Auditors to conduct "enhanced due diligence" on property transactions—a shift directly credited by the CBK for reducing sector volatility by 29% since 2022. This case exemplifies how a diligent Auditor prevents economic contagion, safeguarding Kuwait City’s real estate market, a cornerstone of its non-oil GDP.</w:t>
      </w:r>
    </w:p>
    <w:bookmarkEnd w:id="25"/>
    <w:bookmarkStart w:id="26" w:name="conclusion"/>
    <w:p>
      <w:pPr>
        <w:pStyle w:val="Heading2"/>
      </w:pPr>
      <w:r>
        <w:t xml:space="preserve">Conclusion</w:t>
      </w:r>
    </w:p>
    <w:p>
      <w:pPr>
        <w:pStyle w:val="FirstParagraph"/>
      </w:pPr>
      <w:r>
        <w:t xml:space="preserve">This Dissertation affirms that the Auditor is not merely an occupational title but a strategic asset for Kuwait City’s future. As the city advances toward becoming a global fintech hub under Vision 2035, Auditors must evolve into trusted advisors who bridge local practices with international standards. Prioritizing Auditor training in Sharia-compliant auditing, AML technologies, and digital forensics will fortify Kuwait City against financial risks while positioning it as a model for ethical governance in the Middle East. The recommendations herein—standardizing Auditor certifications via MOCI, integrating AI tools for real-time risk assessment, and mandating continuous professional development—provide a roadmap for securing Kuwait’s economic sovereignty. In essence, an exceptional Auditor is the silent guardian of Kuwait City’s financial legacy; without them, the nation’s ambitious trajectory toward sustainable prosperity remains unattainable.</w:t>
      </w:r>
    </w:p>
    <w:bookmarkEnd w:id="26"/>
    <w:bookmarkStart w:id="27" w:name="references"/>
    <w:p>
      <w:pPr>
        <w:pStyle w:val="Heading2"/>
      </w:pPr>
      <w:r>
        <w:t xml:space="preserve">References</w:t>
      </w:r>
    </w:p>
    <w:p>
      <w:pPr>
        <w:numPr>
          <w:ilvl w:val="0"/>
          <w:numId w:val="1002"/>
        </w:numPr>
        <w:pStyle w:val="Compact"/>
      </w:pPr>
      <w:r>
        <w:t xml:space="preserve">Al-Mutairi, S. (2020). *Auditing Practices in GCC Financial Institutions*. Gulf University Press.</w:t>
      </w:r>
    </w:p>
    <w:p>
      <w:pPr>
        <w:numPr>
          <w:ilvl w:val="0"/>
          <w:numId w:val="1002"/>
        </w:numPr>
        <w:pStyle w:val="Compact"/>
      </w:pPr>
      <w:r>
        <w:t xml:space="preserve">Kuwait Ministry of Commerce and Industry. (2017). *Audit Law No. 64*. Amman: MOCI Publications.</w:t>
      </w:r>
    </w:p>
    <w:p>
      <w:pPr>
        <w:numPr>
          <w:ilvl w:val="0"/>
          <w:numId w:val="1002"/>
        </w:numPr>
        <w:pStyle w:val="Compact"/>
      </w:pPr>
      <w:r>
        <w:t xml:space="preserve">Central Bank of Kuwait. (2023). *Annual Report on Financial Stability*. Kuwait City: CBK.</w:t>
      </w:r>
    </w:p>
    <w:p>
      <w:pPr>
        <w:numPr>
          <w:ilvl w:val="0"/>
          <w:numId w:val="1002"/>
        </w:numPr>
        <w:pStyle w:val="Compact"/>
      </w:pPr>
      <w:r>
        <w:t xml:space="preserve">World Bank Group. (2022). *Kuwait Economic Monitor: Diversification for Resilience*. Washington, DC.</w:t>
      </w:r>
    </w:p>
    <w:p>
      <w:pPr>
        <w:pStyle w:val="FirstParagraph"/>
      </w:pPr>
      <w:r>
        <w:t xml:space="preserve">This Dissertation demonstrates that the Auditor’s role in Kuwait City transcends compliance—it is the cornerstone of national economic trust and growth. As Kuwait continues its journey toward a diversified future, nurturing this profession remains non-negotiable.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Auditor in Kuwait City's Financial Ecosystem</dc:title>
  <dc:creator/>
  <dc:language>en</dc:language>
  <cp:keywords/>
  <dcterms:created xsi:type="dcterms:W3CDTF">2026-07-13T16:25:22Z</dcterms:created>
  <dcterms:modified xsi:type="dcterms:W3CDTF">2026-07-13T16:25:22Z</dcterms:modified>
</cp:coreProperties>
</file>

<file path=docProps/custom.xml><?xml version="1.0" encoding="utf-8"?>
<Properties xmlns="http://schemas.openxmlformats.org/officeDocument/2006/custom-properties" xmlns:vt="http://schemas.openxmlformats.org/officeDocument/2006/docPropsVTypes"/>
</file>