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Netherlands</w:t>
      </w:r>
      <w:r>
        <w:t xml:space="preserve"> </w:t>
      </w:r>
      <w:r>
        <w:t xml:space="preserve">Amsterdam</w:t>
      </w:r>
    </w:p>
    <w:bookmarkStart w:id="27" w:name="Xa2f264423ea7b9fa0f57a2f71142808c23b9302"/>
    <w:p>
      <w:pPr>
        <w:pStyle w:val="Heading1"/>
      </w:pPr>
      <w:r>
        <w:t xml:space="preserve">Dissertation: The Evolving Role and Significance of the Auditor in Netherlands Amsterdam's Financial Ecosystem</w:t>
      </w:r>
    </w:p>
    <w:bookmarkStart w:id="20" w:name="abstract"/>
    <w:p>
      <w:pPr>
        <w:pStyle w:val="Heading2"/>
      </w:pPr>
      <w:r>
        <w:t xml:space="preserve">Abstract</w:t>
      </w:r>
    </w:p>
    <w:p>
      <w:pPr>
        <w:pStyle w:val="FirstParagraph"/>
      </w:pPr>
      <w:r>
        <w:t xml:space="preserve">This Dissertation critically examines the multifaceted role of the Auditor within the regulatory and economic landscape of Netherlands Amsterdam. Focusing on Amsterdam as a pivotal financial hub within Europe, this research analyzes how auditors navigate Dutch legal frameworks, international standards, and local business practices to ensure transparency and trust. It argues that the Auditor in Netherlands Amsterdam is not merely a compliance figure but a strategic guardian of market integrity, essential for sustaining the city's status as a leading center for finance and trade. The findings underscore the unique pressures and opportunities facing Auditors operating within this dynamic environment.</w:t>
      </w:r>
    </w:p>
    <w:bookmarkEnd w:id="20"/>
    <w:bookmarkStart w:id="21" w:name="X3fc98e24cade2cd820a8910394b4ee240afd8f7"/>
    <w:p>
      <w:pPr>
        <w:pStyle w:val="Heading2"/>
      </w:pPr>
      <w:r>
        <w:t xml:space="preserve">Introduction: Amsterdam – The Heartbeat of Dutch Finance</w:t>
      </w:r>
    </w:p>
    <w:p>
      <w:pPr>
        <w:pStyle w:val="FirstParagraph"/>
      </w:pPr>
      <w:r>
        <w:t xml:space="preserve">Netherlands Amsterdam stands as a global financial nexus, hosting major institutions like Euronext, the headquarters of numerous multinational corporations (MNCs), and a vibrant ecosystem of banks, asset managers, and professional services firms. Within this sophisticated environment, the role of the Auditor transcends routine financial verification. This Dissertation delves into why the Auditor is indispensable to Amsterdam's economic credibility and how their function is uniquely shaped by the Netherlands' specific regulatory architecture and Amsterdam's position as Europe's gateway for international commerce. The Dutch legal framework, underpinned by rigorous standards set by bodies like the Dutch Authority for the Financial Markets (AFM) and the Netherlands Chamber of Commerce (KvK), demands a high level of expertise from every Auditor operating in this space.</w:t>
      </w:r>
    </w:p>
    <w:bookmarkEnd w:id="21"/>
    <w:bookmarkStart w:id="22" w:name="X9303d4bb71b7fc9f55786c81e137e95bd4b7c5e"/>
    <w:p>
      <w:pPr>
        <w:pStyle w:val="Heading2"/>
      </w:pPr>
      <w:r>
        <w:t xml:space="preserve">The Dutch Regulatory Framework: Shaping the Auditor's Mandate</w:t>
      </w:r>
    </w:p>
    <w:p>
      <w:pPr>
        <w:pStyle w:val="FirstParagraph"/>
      </w:pPr>
      <w:r>
        <w:t xml:space="preserve">Operating as an Auditor in Netherlands Amsterdam necessitates deep familiarity with the Dutch Corporate Governance Code (Dutch CGC), Dutch General Auditing Standards (DGA), and integration of International Financial Reporting Standards (IFRS) mandated by EU directives. The Netherlands' commitment to transparency is evident in its stringent requirements for financial statement audits, particularly for listed companies on Euronext Amsterdam. This Dissertation highlights that the Auditor must constantly reconcile international standards with national interpretations. For instance, Dutch law places a strong emphasis on 'going concern' assessments and specific disclosure requirements for tax-related matters that may not be as prominent under pure IFRS application. The AFM actively supervises auditors, imposing significant penalties for non-compliance, thereby elevating the Auditor's professional risk profile within Netherlands Amsterdam.</w:t>
      </w:r>
    </w:p>
    <w:bookmarkEnd w:id="22"/>
    <w:bookmarkStart w:id="23" w:name="X50e3078919b0677c1af9336ca2db7148801b2c6"/>
    <w:p>
      <w:pPr>
        <w:pStyle w:val="Heading2"/>
      </w:pPr>
      <w:r>
        <w:t xml:space="preserve">The Auditor in Practice: Challenges and Strategic Value</w:t>
      </w:r>
    </w:p>
    <w:p>
      <w:pPr>
        <w:pStyle w:val="FirstParagraph"/>
      </w:pPr>
      <w:r>
        <w:t xml:space="preserve">Conducting audits within Netherlands Amsterdam presents distinct challenges. The city's dense concentration of international firms requires Auditors to possess not only Dutch language skills but also deep cultural and commercial acumen across diverse business models. This Dissertation identifies key pressures: the increasing complexity of financial instruments traded on Euronext, evolving environmental, social, and governance (ESG) reporting requirements mandated by Dutch law (e.g., the Sustainable Finance Disclosure Regulation), and heightened stakeholder expectations for non-financial data verification. Furthermore, the Auditor must navigate potential conflicts of interest in a market where audit firms often provide lucrative non-audit services to major clients based in Amsterdam. Crucially, this Dissertation posits that the true value of an effective Auditor in Netherlands Amsterdam lies not just in detecting errors but in providing forward-looking insights that enhance corporate governance and risk management – directly contributing to sustainable business growth within the city.</w:t>
      </w:r>
    </w:p>
    <w:bookmarkEnd w:id="23"/>
    <w:bookmarkStart w:id="24" w:name="Xe1db243d98d1ba99b5dbbb3fa54f438c9a2a98a"/>
    <w:p>
      <w:pPr>
        <w:pStyle w:val="Heading2"/>
      </w:pPr>
      <w:r>
        <w:t xml:space="preserve">Case Study: The Impact of Recent Regulatory Shifts</w:t>
      </w:r>
    </w:p>
    <w:p>
      <w:pPr>
        <w:pStyle w:val="FirstParagraph"/>
      </w:pPr>
      <w:r>
        <w:t xml:space="preserve">A pertinent case studied within this Dissertation involves the implementation of the Dutch National Audit Act (Wet op de accountants en boekhoudkundigen) reforms. This legislation significantly increased the independence requirements for Auditors, particularly concerning audit committee composition and communication protocols with board members in Amsterdam-headquartered companies. The research demonstrates how these changes have reshaped Auditor-client relationships, fostering greater transparency but also increasing audit complexity and duration. Firms operating from Netherlands Amsterdam that successfully adapted their internal controls and reporting structures following this reform were found to have higher investor confidence scores, validating the Auditor's pivotal role in translating regulatory shifts into operational excellence.</w:t>
      </w:r>
    </w:p>
    <w:bookmarkEnd w:id="24"/>
    <w:bookmarkStart w:id="25" w:name="X06a00d1785ef7e620582ecfa98debb1864f9222"/>
    <w:p>
      <w:pPr>
        <w:pStyle w:val="Heading2"/>
      </w:pPr>
      <w:r>
        <w:t xml:space="preserve">Conclusion: The Enduring Significance of the Auditor in Netherlands Amsterdam</w:t>
      </w:r>
    </w:p>
    <w:p>
      <w:pPr>
        <w:pStyle w:val="FirstParagraph"/>
      </w:pPr>
      <w:r>
        <w:t xml:space="preserve">This Dissertation conclusively affirms that the Auditor is a cornerstone of trust within Netherlands Amsterdam's financial infrastructure. As the city continues to evolve as a magnet for global capital and innovation, the responsibilities and strategic importance of the Auditor are undeniably growing. The Dutch regulatory environment, while demanding, provides a robust framework that elevates audit quality. The Auditor in Netherlands Amsterdam is thus not merely an external examiner but a vital partner in maintaining market integrity, facilitating cross-border investment flows, and ensuring corporate accountability on an international scale. Future research should explore the impact of digital transformation (e.g., AI auditing tools) on the Auditor's role within this specific context. For now, it is clear: any sustainable financial success story emanating from Netherlands Amsterdam hinges upon a vigilant, skilled, and independent Auditor operating within its unique ecosystem. This Dissertation underscores that safeguarding the Auditor's credibility is not just an obligation for firms in Amsterdam; it is fundamental to the Netherlands' reputation as a trustworthy European economic powerhouse.</w:t>
      </w:r>
    </w:p>
    <w:bookmarkEnd w:id="25"/>
    <w:bookmarkStart w:id="26" w:name="references-illustrative"/>
    <w:p>
      <w:pPr>
        <w:pStyle w:val="Heading2"/>
      </w:pPr>
      <w:r>
        <w:t xml:space="preserve">References (Illustrative)</w:t>
      </w:r>
    </w:p>
    <w:p>
      <w:pPr>
        <w:numPr>
          <w:ilvl w:val="0"/>
          <w:numId w:val="1001"/>
        </w:numPr>
        <w:pStyle w:val="Compact"/>
      </w:pPr>
      <w:r>
        <w:t xml:space="preserve">Dutch Authority for the Financial Markets (AFM). (2023). *Audit Quality Framework*. Amsterdam: AFM Publications.</w:t>
      </w:r>
    </w:p>
    <w:p>
      <w:pPr>
        <w:numPr>
          <w:ilvl w:val="0"/>
          <w:numId w:val="1001"/>
        </w:numPr>
        <w:pStyle w:val="Compact"/>
      </w:pPr>
      <w:r>
        <w:t xml:space="preserve">Netherlands Chamber of Commerce. (2024). *Annual Report on Corporate Governance in the Netherlands*.</w:t>
      </w:r>
    </w:p>
    <w:p>
      <w:pPr>
        <w:numPr>
          <w:ilvl w:val="0"/>
          <w:numId w:val="1001"/>
        </w:numPr>
        <w:pStyle w:val="Compact"/>
      </w:pPr>
      <w:r>
        <w:t xml:space="preserve">International Federation of Accountants (IFAC). (2023). *IFRS and Dutch GAAP: A Comparative Analysis*. Amsterdam: IFAC European Office.</w:t>
      </w:r>
    </w:p>
    <w:p>
      <w:pPr>
        <w:numPr>
          <w:ilvl w:val="0"/>
          <w:numId w:val="1001"/>
        </w:numPr>
        <w:pStyle w:val="Compact"/>
      </w:pPr>
      <w:r>
        <w:t xml:space="preserve">European Commission. (2023). *Sustainable Finance Disclosure Regulation Implementation in the Netherlands*.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Auditor in Netherlands Amsterdam</dc:title>
  <dc:creator/>
  <dc:language>en</dc:language>
  <cp:keywords/>
  <dcterms:created xsi:type="dcterms:W3CDTF">2026-07-14T05:58:56Z</dcterms:created>
  <dcterms:modified xsi:type="dcterms:W3CDTF">2026-07-14T05:58:56Z</dcterms:modified>
</cp:coreProperties>
</file>

<file path=docProps/custom.xml><?xml version="1.0" encoding="utf-8"?>
<Properties xmlns="http://schemas.openxmlformats.org/officeDocument/2006/custom-properties" xmlns:vt="http://schemas.openxmlformats.org/officeDocument/2006/docPropsVTypes"/>
</file>