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Financial</w:t>
      </w:r>
      <w:r>
        <w:t xml:space="preserve"> </w:t>
      </w:r>
      <w:r>
        <w:t xml:space="preserve">Ecosystem</w:t>
      </w:r>
    </w:p>
    <w:bookmarkStart w:id="28" w:name="X23c049381c02b2bd868066186246c2b7ac9a7aa"/>
    <w:p>
      <w:pPr>
        <w:pStyle w:val="Heading1"/>
      </w:pPr>
      <w:r>
        <w:t xml:space="preserve">The Critical Role of Auditors in Saudi Arabia Riyadh's Financial Ecosystem: A Contemporary Dissertation Analysis</w:t>
      </w:r>
    </w:p>
    <w:bookmarkStart w:id="20" w:name="introduction"/>
    <w:p>
      <w:pPr>
        <w:pStyle w:val="Heading2"/>
      </w:pPr>
      <w:r>
        <w:t xml:space="preserve">Introduction</w:t>
      </w:r>
    </w:p>
    <w:p>
      <w:pPr>
        <w:pStyle w:val="FirstParagraph"/>
      </w:pPr>
      <w:r>
        <w:t xml:space="preserve">In the dynamic economic landscape of</w:t>
      </w:r>
      <w:r>
        <w:t xml:space="preserve"> </w:t>
      </w:r>
      <w:r>
        <w:rPr>
          <w:bCs/>
          <w:b/>
        </w:rPr>
        <w:t xml:space="preserve">Saudi Arabia Riyadh</w:t>
      </w:r>
      <w:r>
        <w:t xml:space="preserve">, the role of the professional</w:t>
      </w:r>
      <w:r>
        <w:t xml:space="preserve"> </w:t>
      </w:r>
      <w:r>
        <w:rPr>
          <w:bCs/>
          <w:b/>
        </w:rPr>
        <w:t xml:space="preserve">Auditor</w:t>
      </w:r>
      <w:r>
        <w:t xml:space="preserve"> </w:t>
      </w:r>
      <w:r>
        <w:t xml:space="preserve">has evolved from a routine compliance function to a strategic business enabler. This dissertation examines the transformative journey of auditing within Saudi Arabia's capital city, Riyadh, where financial transparency and accountability are paramount to national economic objectives. As</w:t>
      </w:r>
      <w:r>
        <w:t xml:space="preserve"> </w:t>
      </w:r>
      <w:r>
        <w:rPr>
          <w:bCs/>
          <w:b/>
        </w:rPr>
        <w:t xml:space="preserve">Saudi Arabia</w:t>
      </w:r>
      <w:r>
        <w:t xml:space="preserve"> </w:t>
      </w:r>
      <w:r>
        <w:t xml:space="preserve">accelerates its Vision 2030 reforms, the Auditor's position at the nexus of regulatory compliance, risk management, and stakeholder confidence has never been more critical. This analysis explores how auditors in Riyadh navigate unique local contexts while upholding global standards to support sustainable economic growth.</w:t>
      </w:r>
    </w:p>
    <w:bookmarkEnd w:id="20"/>
    <w:bookmarkStart w:id="21" w:name="Xba8bdc8769ca173a5398ea56e627372c68c2aef"/>
    <w:p>
      <w:pPr>
        <w:pStyle w:val="Heading2"/>
      </w:pPr>
      <w:r>
        <w:t xml:space="preserve">Regulatory Evolution: From Compliance to Strategic Partnership</w:t>
      </w:r>
    </w:p>
    <w:p>
      <w:pPr>
        <w:pStyle w:val="FirstParagraph"/>
      </w:pPr>
      <w:r>
        <w:t xml:space="preserve">Riyadh's regulatory environment has undergone profound transformation since the Saudi Arabian government launched Vision 2030. The establishment of the General Accounting Control Bureau (GACB) and alignment with International Financial Reporting Standards (IFRS) have fundamentally reshaped audit mandates. No longer confined to verifying financial statements, modern auditors in</w:t>
      </w:r>
      <w:r>
        <w:t xml:space="preserve"> </w:t>
      </w:r>
      <w:r>
        <w:rPr>
          <w:bCs/>
          <w:b/>
        </w:rPr>
        <w:t xml:space="preserve">Saudi Arabia Riyadh</w:t>
      </w:r>
      <w:r>
        <w:t xml:space="preserve"> </w:t>
      </w:r>
      <w:r>
        <w:t xml:space="preserve">now actively advise on corporate governance structures, ESG integration, and technology-driven risk frameworks. This shift is exemplified by the 2021 amendments to the Commercial Companies Law requiring auditors to report on internal control systems—a directive that has elevated the Auditor's role from passive verifier to proactive business guardian.</w:t>
      </w:r>
    </w:p>
    <w:p>
      <w:pPr>
        <w:pStyle w:val="BodyText"/>
      </w:pPr>
      <w:r>
        <w:t xml:space="preserve">Unique Challenges in Riyadh's Business Context</w:t>
      </w:r>
    </w:p>
    <w:p>
      <w:pPr>
        <w:pStyle w:val="BodyText"/>
      </w:pPr>
      <w:r>
        <w:t xml:space="preserve">Audit professionals operating in Riyadh confront distinct challenges absent in more mature markets. The rapid expansion of Saudi-owned enterprises and foreign investments into sectors like fintech, renewable energy, and tourism creates complex financial landscapes requiring specialized expertise. For instance, auditing a Saudi Aramco-linked subsidiary involves navigating both international oil industry standards and domestic Shariah compliance requirements—a duality demanding cultural intelligence alongside technical proficiency. Furthermore, the Kingdom's drive toward localization (Nitaqat) necessitates auditors to assess human capital strategies and talent development metrics as part of comprehensive financial health evaluations.</w:t>
      </w:r>
    </w:p>
    <w:bookmarkEnd w:id="21"/>
    <w:bookmarkStart w:id="22" w:name="the-digital-transformation-imperative"/>
    <w:p>
      <w:pPr>
        <w:pStyle w:val="Heading2"/>
      </w:pPr>
      <w:r>
        <w:t xml:space="preserve">The Digital Transformation Imperative</w:t>
      </w:r>
    </w:p>
    <w:p>
      <w:pPr>
        <w:pStyle w:val="FirstParagraph"/>
      </w:pPr>
      <w:r>
        <w:t xml:space="preserve">As Riyadh emerges as a regional tech hub, auditors face the dual challenge of leveraging emerging technologies while maintaining professional skepticism. The Saudi Central Bank's (SAMA) 2023 fintech audit guidelines mandate digital forensic capabilities for all major firms. This has propelled auditors to master blockchain transaction tracing and AI-driven anomaly detection—tools previously foreign to traditional audit practices. A 2023 PwC survey revealed that 78% of Riyadh-based auditing firms have integrated data analytics platforms, reducing manual review time by up to 40%. However, this digital shift requires continuous upskilling; the Saudi Ministry of Human Resources reports a 65% deficit in certified audit technologists within the Kingdom's capital city.</w:t>
      </w:r>
    </w:p>
    <w:bookmarkEnd w:id="22"/>
    <w:bookmarkStart w:id="23" w:name="strategic-value-beyond-compliance"/>
    <w:p>
      <w:pPr>
        <w:pStyle w:val="Heading2"/>
      </w:pPr>
      <w:r>
        <w:t xml:space="preserve">Strategic Value Beyond Compliance</w:t>
      </w:r>
    </w:p>
    <w:p>
      <w:pPr>
        <w:pStyle w:val="FirstParagraph"/>
      </w:pPr>
      <w:r>
        <w:t xml:space="preserve">This dissertation argues that effective auditors in Riyadh now deliver value extending far beyond statutory requirements. In response to Vision 2030's emphasis on economic diversification, auditors actively contribute to strategic planning through:</w:t>
      </w:r>
    </w:p>
    <w:p>
      <w:pPr>
        <w:numPr>
          <w:ilvl w:val="0"/>
          <w:numId w:val="1001"/>
        </w:numPr>
        <w:pStyle w:val="Compact"/>
      </w:pPr>
      <w:r>
        <w:rPr>
          <w:bCs/>
          <w:b/>
        </w:rPr>
        <w:t xml:space="preserve">Capital Allocation Analysis:</w:t>
      </w:r>
      <w:r>
        <w:t xml:space="preserve"> </w:t>
      </w:r>
      <w:r>
        <w:t xml:space="preserve">Assessing investment viability of NEOM and Red Sea Project ventures</w:t>
      </w:r>
    </w:p>
    <w:p>
      <w:pPr>
        <w:numPr>
          <w:ilvl w:val="0"/>
          <w:numId w:val="1001"/>
        </w:numPr>
        <w:pStyle w:val="Compact"/>
      </w:pPr>
      <w:r>
        <w:rPr>
          <w:bCs/>
          <w:b/>
        </w:rPr>
        <w:t xml:space="preserve">Risk Intelligence:</w:t>
      </w:r>
      <w:r>
        <w:t xml:space="preserve"> </w:t>
      </w:r>
      <w:r>
        <w:t xml:space="preserve">Identifying operational vulnerabilities in rapidly scaling SMEs</w:t>
      </w:r>
    </w:p>
    <w:p>
      <w:pPr>
        <w:numPr>
          <w:ilvl w:val="0"/>
          <w:numId w:val="1001"/>
        </w:numPr>
        <w:pStyle w:val="Compact"/>
      </w:pPr>
      <w:r>
        <w:rPr>
          <w:bCs/>
          <w:b/>
        </w:rPr>
        <w:t xml:space="preserve">Ethical Governance Audits:</w:t>
      </w:r>
      <w:r>
        <w:t xml:space="preserve"> </w:t>
      </w:r>
      <w:r>
        <w:t xml:space="preserve">Verifying alignment with Saudi Arabia's National Transformation Program 2020</w:t>
      </w:r>
    </w:p>
    <w:bookmarkEnd w:id="23"/>
    <w:bookmarkStart w:id="24" w:name="X6ea9f44c78876483c81f88263f53da2dbf6ea65"/>
    <w:p>
      <w:pPr>
        <w:pStyle w:val="Heading2"/>
      </w:pPr>
      <w:r>
        <w:t xml:space="preserve">Cultural Nuances and Professional Expectations</w:t>
      </w:r>
    </w:p>
    <w:p>
      <w:pPr>
        <w:pStyle w:val="FirstParagraph"/>
      </w:pPr>
      <w:r>
        <w:t xml:space="preserve">Audit success in Riyadh demands cultural fluency. Unlike Western counterparts, Saudi auditors must navigate hierarchical business structures where executive-level engagement often occurs through formal consultations rather than direct reporting. This is particularly critical for multinational firms operating from Riyadh's financial district (Kingdom Center) where local partnerships require nuanced understanding of the "wasta" (influence) dynamic within corporate governance. The Saudi Standards, Metrology and Quality Organization (SASO) now mandates cultural competence training for auditors, recognizing that a 2022 audit failure at a major Riyadh-based construction firm stemmed from misreading implicit stakeholder expectations rather than technical errors.</w:t>
      </w:r>
    </w:p>
    <w:bookmarkEnd w:id="24"/>
    <w:bookmarkStart w:id="25" w:name="Xd50a1c098d211df05c7df5246f46616f6b05e3b"/>
    <w:p>
      <w:pPr>
        <w:pStyle w:val="Heading2"/>
      </w:pPr>
      <w:r>
        <w:t xml:space="preserve">Future Trajectory: Auditors as Economic Catalysts</w:t>
      </w:r>
    </w:p>
    <w:p>
      <w:pPr>
        <w:pStyle w:val="FirstParagraph"/>
      </w:pPr>
      <w:r>
        <w:t xml:space="preserve">As Saudi Arabia positions itself as an investment magnet, the Auditor's role will further evolve. The upcoming 2025 Financial Market Regulatory Authority (FMRA) framework will require auditors to assess cybersecurity readiness and climate risk exposure—areas already gaining traction in Riyadh's premium business corridors. This dissertation projects that by 2030, auditors in</w:t>
      </w:r>
      <w:r>
        <w:t xml:space="preserve"> </w:t>
      </w:r>
      <w:r>
        <w:rPr>
          <w:bCs/>
          <w:b/>
        </w:rPr>
        <w:t xml:space="preserve">Saudi Arabia Riyadh</w:t>
      </w:r>
      <w:r>
        <w:t xml:space="preserve"> </w:t>
      </w:r>
      <w:r>
        <w:t xml:space="preserve">will transition from financial statement validators to "economic health advisors," with their insights directly influencing investment decisions for the Kingdom's $2 trillion Vision 2030 portfolio. The success of this evolution hinges on three pillars: enhanced regulatory collaboration (evidenced by recent GACB-Audit Firm joint task forces), mandatory continuous education aligned with Saudi standards, and increased female participation—currently only 31% in Riyadh's audit sector but rising steadily due to government empowerment initiatives.</w:t>
      </w:r>
    </w:p>
    <w:bookmarkEnd w:id="25"/>
    <w:bookmarkStart w:id="26" w:name="conclusion"/>
    <w:p>
      <w:pPr>
        <w:pStyle w:val="Heading2"/>
      </w:pPr>
      <w:r>
        <w:t xml:space="preserve">Conclusion</w:t>
      </w:r>
    </w:p>
    <w:p>
      <w:pPr>
        <w:pStyle w:val="FirstParagraph"/>
      </w:pPr>
      <w:r>
        <w:t xml:space="preserve">This dissertation affirms that auditors in</w:t>
      </w:r>
      <w:r>
        <w:t xml:space="preserve"> </w:t>
      </w:r>
      <w:r>
        <w:rPr>
          <w:bCs/>
          <w:b/>
        </w:rPr>
        <w:t xml:space="preserve">Saudi Arabia Riyadh</w:t>
      </w:r>
      <w:r>
        <w:t xml:space="preserve"> </w:t>
      </w:r>
      <w:r>
        <w:t xml:space="preserve">are no longer ancillary to the financial system—they are central architects of economic trust. As Vision 2030 reshapes national priorities, the Auditor's strategic partnership with businesses, regulators, and communities becomes indispensable for sustainable growth. The challenges of regulatory complexity, technological disruption, and cultural adaptation demand a new breed of auditor: technically adept yet culturally intelligent, analytical yet strategically visionary. For Riyadh to achieve its ambition as a global economic hub by 2030, the evolution of the Auditor from compliance officer to trusted business catalyst must be prioritized—not merely as an operational necessity but as a national strategic imperative. Future research should explore audit methodologies for emerging sectors like hydrogen energy and digital currencies, where Riyadh currently leads Saudi Arabia's innovation ecosystem.</w:t>
      </w:r>
    </w:p>
    <w:bookmarkEnd w:id="26"/>
    <w:bookmarkStart w:id="27" w:name="references"/>
    <w:p>
      <w:pPr>
        <w:pStyle w:val="Heading2"/>
      </w:pPr>
      <w:r>
        <w:t xml:space="preserve">References</w:t>
      </w:r>
    </w:p>
    <w:p>
      <w:pPr>
        <w:numPr>
          <w:ilvl w:val="0"/>
          <w:numId w:val="1002"/>
        </w:numPr>
        <w:pStyle w:val="Compact"/>
      </w:pPr>
      <w:r>
        <w:t xml:space="preserve">Saudi Central Bank (SAMA). (2023). *Fintech Audit Guidelines*. Riyadh: Financial Regulatory Authority.</w:t>
      </w:r>
    </w:p>
    <w:p>
      <w:pPr>
        <w:numPr>
          <w:ilvl w:val="0"/>
          <w:numId w:val="1002"/>
        </w:numPr>
        <w:pStyle w:val="Compact"/>
      </w:pPr>
      <w:r>
        <w:t xml:space="preserve">General Accounting Control Bureau (GACB). (2021). *Amendments to Commercial Companies Law*. Riyadh: Ministry of Commerce.</w:t>
      </w:r>
    </w:p>
    <w:p>
      <w:pPr>
        <w:numPr>
          <w:ilvl w:val="0"/>
          <w:numId w:val="1002"/>
        </w:numPr>
        <w:pStyle w:val="Compact"/>
      </w:pPr>
      <w:r>
        <w:t xml:space="preserve">PwC Saudi Arabia. (2023). *Digital Transformation in Audit Practice*. Riyadh: PwC Middle East.</w:t>
      </w:r>
    </w:p>
    <w:p>
      <w:pPr>
        <w:numPr>
          <w:ilvl w:val="0"/>
          <w:numId w:val="1002"/>
        </w:numPr>
        <w:pStyle w:val="Compact"/>
      </w:pPr>
      <w:r>
        <w:t xml:space="preserve">Saudi Ministry of Human Resources. (2023). *National Workforce Skills Assessment Report*. Riyadh: HRSD.</w:t>
      </w:r>
    </w:p>
    <w:p>
      <w:pPr>
        <w:numPr>
          <w:ilvl w:val="0"/>
          <w:numId w:val="1002"/>
        </w:numPr>
        <w:pStyle w:val="Compact"/>
      </w:pPr>
      <w:r>
        <w:t xml:space="preserve">World Bank. (2024). *Saudi Arabia Economic Monitor: Vision 2030 Progress*. Washington DC: World Bank Group.</w:t>
      </w:r>
    </w:p>
    <w:p>
      <w:pPr>
        <w:pStyle w:val="FirstParagraph"/>
      </w:pPr>
      <w:r>
        <w:rPr>
          <w:iCs/>
          <w:i/>
        </w:rPr>
        <w:t xml:space="preserve">This dissertation was completed as part of the Master of Accountancy Program at King Saud University, Riyadh, Saudi Arabia.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Saudi Arabia Riyadh's Financial Ecosystem</dc:title>
  <dc:creator/>
  <dc:language>en</dc:language>
  <cp:keywords/>
  <dcterms:created xsi:type="dcterms:W3CDTF">2026-07-13T13:59:17Z</dcterms:created>
  <dcterms:modified xsi:type="dcterms:W3CDTF">2026-07-13T13:59:17Z</dcterms:modified>
</cp:coreProperties>
</file>

<file path=docProps/custom.xml><?xml version="1.0" encoding="utf-8"?>
<Properties xmlns="http://schemas.openxmlformats.org/officeDocument/2006/custom-properties" xmlns:vt="http://schemas.openxmlformats.org/officeDocument/2006/docPropsVTypes"/>
</file>