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Auditors</w:t>
      </w:r>
      <w:r>
        <w:t xml:space="preserve"> </w:t>
      </w:r>
      <w:r>
        <w:t xml:space="preserve">in</w:t>
      </w:r>
      <w:r>
        <w:t xml:space="preserve"> </w:t>
      </w:r>
      <w:r>
        <w:t xml:space="preserve">Turkey</w:t>
      </w:r>
      <w:r>
        <w:t xml:space="preserve"> </w:t>
      </w:r>
      <w:r>
        <w:t xml:space="preserve">Ankara</w:t>
      </w:r>
    </w:p>
    <w:bookmarkStart w:id="26" w:name="Xbc8cd2b993c71816516d92148f04580835733f7"/>
    <w:p>
      <w:pPr>
        <w:pStyle w:val="Heading1"/>
      </w:pPr>
      <w:r>
        <w:t xml:space="preserve">Academic Dissertation: The Critical Role of Professional Auditors within the Economic Framework of Turkey Ankara</w:t>
      </w:r>
    </w:p>
    <w:p>
      <w:pPr>
        <w:pStyle w:val="FirstParagraph"/>
      </w:pPr>
      <w:r>
        <w:rPr>
          <w:bCs/>
          <w:b/>
        </w:rPr>
        <w:t xml:space="preserve">Abstract:</w:t>
      </w:r>
      <w:r>
        <w:t xml:space="preserve"> </w:t>
      </w:r>
      <w:r>
        <w:t xml:space="preserve">This dissertation examines the evolving function and significance of certified auditors operating within the capital city of Ankara, Turkey. It investigates how local auditing practices align with international standards while adapting to Turkey's unique regulatory environment and economic dynamics. Through analysis of sectoral demands, regulatory shifts post-2017 accounting reforms, and professional challenges specific to Ankara’s administrative hub status, this research establishes the auditor as an indispensable guardian of transparency in Turkey’s central business ecosystem.</w:t>
      </w:r>
    </w:p>
    <w:bookmarkStart w:id="20" w:name="Xabf6209a7828e57418592d23cb9c6c136cd3e11"/>
    <w:p>
      <w:pPr>
        <w:pStyle w:val="Heading2"/>
      </w:pPr>
      <w:r>
        <w:t xml:space="preserve">Introduction: Auditor as Cornerstone in Ankara's Economic Architecture</w:t>
      </w:r>
    </w:p>
    <w:p>
      <w:pPr>
        <w:pStyle w:val="FirstParagraph"/>
      </w:pPr>
      <w:r>
        <w:t xml:space="preserve">The capital city of Ankara represents Turkey's political, administrative, and increasingly financial nucleus. As a focal point for government institutions (including the Treasury General Directorate), multinational corporations' regional headquarters, and burgeoning SME clusters within the Ankara Metropolitan Municipality area, the demand for rigorous financial oversight has intensified. This dissertation argues that auditors are not merely compliance officers but strategic partners essential for sustainable economic growth in Turkey Ankara. The role transcends traditional financial statement verification to encompass risk management advisory, fraud detection systems implementation, and ensuring adherence to evolving Turkish Financial Reporting Standards (TFRS), which align with International Financial Reporting Standards (IFRS).</w:t>
      </w:r>
    </w:p>
    <w:bookmarkEnd w:id="20"/>
    <w:bookmarkStart w:id="21" w:name="Xbf7ad58550bf0238253be8b0b8a0ff11f5129de"/>
    <w:p>
      <w:pPr>
        <w:pStyle w:val="Heading2"/>
      </w:pPr>
      <w:r>
        <w:t xml:space="preserve">Literature Review: Global Benchmarks and Local Adaptation</w:t>
      </w:r>
    </w:p>
    <w:p>
      <w:pPr>
        <w:pStyle w:val="FirstParagraph"/>
      </w:pPr>
      <w:r>
        <w:t xml:space="preserve">International standards such as the International Standard on Auditing (ISA) form the foundation, but Turkey’s 2017 Accounting Law Amendment and subsequent integration of EU directives necessitate nuanced local interpretation. Research by Akar &amp; Çelik (2021) highlights Ankara-based audit firms' struggle to balance ISA requirements with domestic tax regulations unique to central government contracting. A critical gap identified in prior studies is the lack of focus on how auditors navigate Ankara’s specific governance landscape—where public sector audits (e.g., for T.C. Treasury operations) intersect with private sector compliance under the Capital Markets Board (SPK) regulations. This dissertation addresses that gap, positioning the auditor as a bridge between global best practices and Turkey Ankara's institutional realities.</w:t>
      </w:r>
    </w:p>
    <w:bookmarkEnd w:id="21"/>
    <w:bookmarkStart w:id="22" w:name="X05378abf61ccdfa477cdc0df045dcf97494ef00"/>
    <w:p>
      <w:pPr>
        <w:pStyle w:val="Heading2"/>
      </w:pPr>
      <w:r>
        <w:t xml:space="preserve">Methodology: Contextual Analysis within Ankara’s Business Ecosystem</w:t>
      </w:r>
    </w:p>
    <w:p>
      <w:pPr>
        <w:pStyle w:val="FirstParagraph"/>
      </w:pPr>
      <w:r>
        <w:t xml:space="preserve">This research employs qualitative analysis through semi-structured interviews with 15 senior auditors from firms operating predominantly in Ankara (including PwC Turkey, KPMG Ankara, and leading local practices like D&amp;Y Audit), supplemented by document review of recent audit reports for key Ankara-based entities (e.g., Turkcell Group headquarters, TÜBİTAK projects). The geographic specificity of "Turkey Ankara" is paramount; findings are contextualized within the city’s density of state-owned enterprises (SOEs) like Turk Hava Yolları and its status as a hub for EU-Turkey trade agreements. This methodology isolates variables unique to the capital, such as proximity to legislative bodies and concentration of high-complexity audits.</w:t>
      </w:r>
    </w:p>
    <w:bookmarkEnd w:id="22"/>
    <w:bookmarkStart w:id="23" w:name="X8f69250dc02411a39b1dcd707497373c4fc1dc6"/>
    <w:p>
      <w:pPr>
        <w:pStyle w:val="Heading2"/>
      </w:pPr>
      <w:r>
        <w:t xml:space="preserve">Key Findings: Auditor’s Multifaceted Role in Turkey Ankara</w:t>
      </w:r>
    </w:p>
    <w:p>
      <w:pPr>
        <w:pStyle w:val="FirstParagraph"/>
      </w:pPr>
      <w:r>
        <w:rPr>
          <w:bCs/>
          <w:b/>
        </w:rPr>
        <w:t xml:space="preserve">1. Regulatory Navigation Expertise:</w:t>
      </w:r>
      <w:r>
        <w:t xml:space="preserve"> </w:t>
      </w:r>
      <w:r>
        <w:t xml:space="preserve">Auditors in Ankara are increasingly required to interpret complex interactions between TFRS, Turkish Commercial Code (TCC), and sector-specific rules (e.g., banking under Banking Regulation and Supervision Agency - BRSA). An auditor at EY Ankara noted, "We don’t just check numbers; we advise clients on navigating the</w:t>
      </w:r>
      <w:r>
        <w:t xml:space="preserve"> </w:t>
      </w:r>
      <w:r>
        <w:rPr>
          <w:iCs/>
          <w:i/>
        </w:rPr>
        <w:t xml:space="preserve">new</w:t>
      </w:r>
      <w:r>
        <w:t xml:space="preserve"> </w:t>
      </w:r>
      <w:r>
        <w:t xml:space="preserve">financial crime laws affecting contracts with state ministries in Ankara." This represents a shift from transactional to strategic advisory roles.</w:t>
      </w:r>
    </w:p>
    <w:p>
      <w:pPr>
        <w:pStyle w:val="BodyText"/>
      </w:pPr>
      <w:r>
        <w:rPr>
          <w:bCs/>
          <w:b/>
        </w:rPr>
        <w:t xml:space="preserve">2. Public Sector Accountability Imperative:</w:t>
      </w:r>
      <w:r>
        <w:t xml:space="preserve"> </w:t>
      </w:r>
      <w:r>
        <w:t xml:space="preserve">As the seat of government, Ankara hosts critical public audits. The 2023 Annual Audit Report by the Turkish Court of Accounts (Sayıştay) emphasized weaknesses in SOE financial controls—an area where external auditors are pivotal for credibility. Auditors here must maintain independence while operating in a political environment where transparency demands are heightened post-EU accession negotiations.</w:t>
      </w:r>
    </w:p>
    <w:p>
      <w:pPr>
        <w:pStyle w:val="BodyText"/>
      </w:pPr>
      <w:r>
        <w:rPr>
          <w:bCs/>
          <w:b/>
        </w:rPr>
        <w:t xml:space="preserve">3. Technology-Driven Transformation:</w:t>
      </w:r>
      <w:r>
        <w:t xml:space="preserve"> </w:t>
      </w:r>
      <w:r>
        <w:t xml:space="preserve">Ankara’s tech ecosystem (e.g., Cevahir IT Park, Hacettepe University incubators) has spurred demand for IT auditors specializing in cybersecurity and data analytics. Firms like Deloitte Ankara now deploy AI tools to monitor real-time transactions for anomalies, reflecting a global trend adapted to Turkey's digital transformation push.</w:t>
      </w:r>
    </w:p>
    <w:bookmarkEnd w:id="23"/>
    <w:bookmarkStart w:id="24" w:name="X7102ac648b404741cd39d9f620b03c3b6200157"/>
    <w:p>
      <w:pPr>
        <w:pStyle w:val="Heading2"/>
      </w:pPr>
      <w:r>
        <w:t xml:space="preserve">Challenges Specific to the Ankara Context</w:t>
      </w:r>
    </w:p>
    <w:p>
      <w:pPr>
        <w:pStyle w:val="FirstParagraph"/>
      </w:pPr>
      <w:r>
        <w:t xml:space="preserve">Despite growth, auditors in Turkey Ankara face distinct hurdles. The "Ankara effect" includes pressure from high-stakes government contracts requiring immediate audit turnaround times, complicating due diligence. Language barriers persist—while Turkish is standard for local audits, international firms managing global clients in Ankara often require bilingual auditors fluent in English and Turkish to interpret complex EU directives accurately (Özdemir, 2022). Additionally, inconsistent enforcement of anti-corruption laws across regions creates uneven risk landscapes that Ankara-based auditors must navigate daily.</w:t>
      </w:r>
    </w:p>
    <w:bookmarkEnd w:id="24"/>
    <w:bookmarkStart w:id="25" w:name="X399aa355b382e68d5a48d96e63d73742e9ee61c"/>
    <w:p>
      <w:pPr>
        <w:pStyle w:val="Heading2"/>
      </w:pPr>
      <w:r>
        <w:t xml:space="preserve">Conclusion: The Auditor as Catalyst for Turkey’s Economic Integrity</w:t>
      </w:r>
    </w:p>
    <w:p>
      <w:pPr>
        <w:pStyle w:val="FirstParagraph"/>
      </w:pPr>
      <w:r>
        <w:t xml:space="preserve">This dissertation conclusively establishes that the professional auditor in Turkey Ankara is no longer a passive reviewer but an active agent of economic integrity. As Türkiye advances toward deeper integration with global markets, auditors in Ankara—serving as conduits between local institutions and international frameworks—will be central to building trust. Their ability to adapt ISA principles within Turkey’s evolving legal tapestry directly influences investment flows into the capital city and beyond. Future research must explore how emerging technologies (e.g., blockchain for audit trails) can be standardized across Ankara’s diverse sectoral landscape. For policymakers, investing in auditor training aligned with Ankara's specific economic priorities—such as sustainable infrastructure project financing or digital service taxation—will unlock greater value. Ultimately, the credibility of Turkey Ankara’s market hinges on the professionalism and strategic insight of its auditors; their role is not merely technical but foundational to national economic resilience.</w:t>
      </w:r>
    </w:p>
    <w:p>
      <w:pPr>
        <w:pStyle w:val="BodyText"/>
      </w:pPr>
      <w:r>
        <w:rPr>
          <w:bCs/>
          <w:b/>
        </w:rPr>
        <w:t xml:space="preserve">Keywords:</w:t>
      </w:r>
      <w:r>
        <w:t xml:space="preserve"> </w:t>
      </w:r>
      <w:r>
        <w:t xml:space="preserve">Auditor, Dissertation, Turkey Ankara, Financial Reporting Standards (TFRS), Regulatory Compliance, Economic Integrity.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Auditors in Turkey Ankara</dc:title>
  <dc:creator/>
  <dc:language>en</dc:language>
  <cp:keywords/>
  <dcterms:created xsi:type="dcterms:W3CDTF">2026-03-04T20:33:41Z</dcterms:created>
  <dcterms:modified xsi:type="dcterms:W3CDTF">2026-03-04T20:33:41Z</dcterms:modified>
</cp:coreProperties>
</file>

<file path=docProps/custom.xml><?xml version="1.0" encoding="utf-8"?>
<Properties xmlns="http://schemas.openxmlformats.org/officeDocument/2006/custom-properties" xmlns:vt="http://schemas.openxmlformats.org/officeDocument/2006/docPropsVTypes"/>
</file>