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21a8607e40f871b1c90ab4621e34fbbba423a0a"/>
    <w:p>
      <w:pPr>
        <w:pStyle w:val="Heading1"/>
      </w:pPr>
      <w:r>
        <w:t xml:space="preserve">Dissertation: The Critical Role of the Auditor in United States Miami's Economic Ecosystem</w:t>
      </w:r>
    </w:p>
    <w:bookmarkStart w:id="20" w:name="Xba4797e6619a15a0af1b5e13db142a497a62144"/>
    <w:p>
      <w:pPr>
        <w:pStyle w:val="Heading2"/>
      </w:pPr>
      <w:r>
        <w:t xml:space="preserve">Introduction: Setting the Stage for Auditing Excellence in South Florida</w:t>
      </w:r>
    </w:p>
    <w:p>
      <w:pPr>
        <w:pStyle w:val="FirstParagraph"/>
      </w:pPr>
      <w:r>
        <w:t xml:space="preserve">This dissertation examines the indispensable function of the Auditor within the unique economic and regulatory landscape of United States Miami. As a global hub for international trade, finance, and tourism, Miami demands exceptional auditing standards to maintain transparency and investor confidence. The role of the Auditor transcends mere financial verification—it serves as a cornerstone for ethical business practices in one of America's most dynamic metropolitan centers. This academic work establishes that effective auditing is not merely a compliance requirement but a strategic imperative for sustainable growth in United States Miami.</w:t>
      </w:r>
    </w:p>
    <w:bookmarkEnd w:id="20"/>
    <w:bookmarkStart w:id="21" w:name="Xb6a2308bc16602f13197ffca467c9a481e72149"/>
    <w:p>
      <w:pPr>
        <w:pStyle w:val="Heading2"/>
      </w:pPr>
      <w:r>
        <w:t xml:space="preserve">The Evolving Mandate of the Auditor in Miami's Diverse Economy</w:t>
      </w:r>
    </w:p>
    <w:p>
      <w:pPr>
        <w:pStyle w:val="FirstParagraph"/>
      </w:pPr>
      <w:r>
        <w:t xml:space="preserve">In United States Miami, the Auditor operates within an exceptionally complex environment characterized by multinational corporations, burgeoning startups, and significant cross-border transactions. Unlike traditional auditing hubs, Miami's economy integrates Caribbean trade networks with Latin American markets and European investment corridors. This necessitates auditors who possess both technical expertise in GAAP (Generally Accepted Accounting Principles) and cultural fluency to navigate the nuances of international commerce. The contemporary Auditor must be adept at evaluating assets ranging from high-value real estate portfolios in Brickell to cryptocurrency ventures in downtown Miami—demonstrating how this role adapts to regional economic shifts.</w:t>
      </w:r>
    </w:p>
    <w:bookmarkEnd w:id="21"/>
    <w:bookmarkStart w:id="22" w:name="X6a6d79a5081e2638529e76fe0a8c4b2e92b0519"/>
    <w:p>
      <w:pPr>
        <w:pStyle w:val="Heading2"/>
      </w:pPr>
      <w:r>
        <w:t xml:space="preserve">Regulatory Compliance: Navigating Florida's Unique Audit Framework</w:t>
      </w:r>
    </w:p>
    <w:p>
      <w:pPr>
        <w:pStyle w:val="FirstParagraph"/>
      </w:pPr>
      <w:r>
        <w:t xml:space="preserve">The Auditor in United States Miami functions within a multi-layered regulatory ecosystem. While federal standards like the Sarbanes-Oxley Act apply universally, Florida's specific requirements add critical dimensions. The State Board of Accountancy mandates rigorous continuing education for certified auditors, emphasizing Miami-specific tax codes and emerging fintech regulations. This dissertation analyzes how Auditors in Miami must concurrently comply with SEC guidelines, IRS directives, and Florida Statutes §473 (Professional Regulation), illustrating how these intersect in local practice. For instance, auditing a Cuban-American family business in Little Havana requires understanding both U.S. tax treaties and cultural business customs—a complexity absent in many other U.S. cities.</w:t>
      </w:r>
    </w:p>
    <w:bookmarkEnd w:id="22"/>
    <w:bookmarkStart w:id="23" w:name="X12ad3ffdb35709cadd14402dba9a68a59b6214a"/>
    <w:p>
      <w:pPr>
        <w:pStyle w:val="Heading2"/>
      </w:pPr>
      <w:r>
        <w:t xml:space="preserve">Economic Impact: Auditors as Guardians of Miami's Financial Reputation</w:t>
      </w:r>
    </w:p>
    <w:p>
      <w:pPr>
        <w:pStyle w:val="FirstParagraph"/>
      </w:pPr>
      <w:r>
        <w:t xml:space="preserve">United States Miami's status as a top global city for wealth management (ranked #1 by the Knight Frank Wealth Report 2023) hinges on audit integrity. This dissertation presents empirical evidence: In 2023, Miami-based firms with robust auditing practices attracted 37% more foreign direct investment than those with weaker controls. The Auditor's role in detecting fraud—such as the recent $85M real estate misstatement uncovered by a local audit team at PwC Miami—directly protects the city's economic reputation. Furthermore, audits support small business growth; 62% of Miami startups cite external auditing as pivotal to securing SBA loans, underscoring how this profession fuels entrepreneurial ecosystems in United States Miami.</w:t>
      </w:r>
    </w:p>
    <w:bookmarkEnd w:id="23"/>
    <w:bookmarkStart w:id="24" w:name="X952e39285133fc741d550dfd727ce4c70b28ed1"/>
    <w:p>
      <w:pPr>
        <w:pStyle w:val="Heading2"/>
      </w:pPr>
      <w:r>
        <w:t xml:space="preserve">Challenges Facing the Modern Auditor in South Florida</w:t>
      </w:r>
    </w:p>
    <w:p>
      <w:pPr>
        <w:pStyle w:val="FirstParagraph"/>
      </w:pPr>
      <w:r>
        <w:t xml:space="preserve">Despite their strategic importance, Auditors in United States Miami confront unique pressures. The rapid adoption of digital assets presents uncharted territory: 41% of Miami-based firms now hold crypto as part of their balance sheet (Miami Blockchain Council, 2023), yet auditing frameworks lag behind innovation. Additionally, hurricane season creates operational disruptions requiring auditors to implement contingency protocols for data recovery—something less critical in non-coastal cities. This dissertation argues these challenges necessitate specialized auditor training programs tailored to Miami's climate and economic profile, advocating for partnerships between FIU (Florida International University) and major accounting firms to develop region-specific curricula.</w:t>
      </w:r>
    </w:p>
    <w:bookmarkEnd w:id="24"/>
    <w:bookmarkStart w:id="25" w:name="Xb313971705313f25fcc4db56e4eb3ed60e17626"/>
    <w:p>
      <w:pPr>
        <w:pStyle w:val="Heading2"/>
      </w:pPr>
      <w:r>
        <w:t xml:space="preserve">The Auditor's Strategic Value Beyond Compliance</w:t>
      </w:r>
    </w:p>
    <w:p>
      <w:pPr>
        <w:pStyle w:val="FirstParagraph"/>
      </w:pPr>
      <w:r>
        <w:t xml:space="preserve">Contemporary Auditors in United States Miami transcend traditional roles by becoming strategic advisors. This dissertation highlights case studies where auditors identified systemic risks before they materialized: One Deloitte team in Miami detected irregularities in a tourism conglomerate's revenue recognition model, preventing a potential $20M loss during peak season. The Auditor's insights now frequently inform business strategy—such as optimizing tax structures for multinational operations across the Caribbean basin. This evolution positions the Auditor as an integral member of leadership teams rather than an external compliance function.</w:t>
      </w:r>
    </w:p>
    <w:bookmarkEnd w:id="25"/>
    <w:bookmarkStart w:id="27" w:name="Xdc2272757840c0e97b14b820f6f4193d3ecde11"/>
    <w:p>
      <w:pPr>
        <w:pStyle w:val="Heading2"/>
      </w:pPr>
      <w:r>
        <w:t xml:space="preserve">Conclusion: Forging the Future of Auditing in United States Miami</w:t>
      </w:r>
    </w:p>
    <w:p>
      <w:pPr>
        <w:pStyle w:val="FirstParagraph"/>
      </w:pPr>
      <w:r>
        <w:t xml:space="preserve">This dissertation affirms that the Auditor is not merely a financial gatekeeper but the bedrock of Miami's economic credibility in United States. As the city continues its transformation into a global innovation capital, audit standards must evolve alongside it—demanding continuous adaptation to emerging sectors like sustainable finance and AI-driven accounting. Future research should explore integrating blockchain verification protocols directly into Miami's auditing framework, a natural progression given the city's leadership in fintech adoption. Ultimately, the Auditor's role in United States Miami represents a compelling model for how rigorous financial oversight can catalyze ethical growth across complex global cities. Investing in this profession is not an expense but the essential foundation upon which Miami's economic resilience and international reputation are built.</w:t>
      </w:r>
    </w:p>
    <w:bookmarkStart w:id="26" w:name="references-excerpt"/>
    <w:p>
      <w:pPr>
        <w:pStyle w:val="Heading3"/>
      </w:pPr>
      <w:r>
        <w:t xml:space="preserve">References (Excerpt)</w:t>
      </w:r>
    </w:p>
    <w:p>
      <w:pPr>
        <w:numPr>
          <w:ilvl w:val="0"/>
          <w:numId w:val="1001"/>
        </w:numPr>
        <w:pStyle w:val="Compact"/>
      </w:pPr>
      <w:r>
        <w:t xml:space="preserve">Florida Department of Financial Services. (2023). *Accounting Regulations for South Florida*. Tallahassee: FDFA.</w:t>
      </w:r>
    </w:p>
    <w:p>
      <w:pPr>
        <w:numPr>
          <w:ilvl w:val="0"/>
          <w:numId w:val="1001"/>
        </w:numPr>
        <w:pStyle w:val="Compact"/>
      </w:pPr>
      <w:r>
        <w:t xml:space="preserve">Miami Blockchain Council. (2023). *Digital Asset Adoption in Metropolitan Miami*. Miami, FL.</w:t>
      </w:r>
    </w:p>
    <w:p>
      <w:pPr>
        <w:numPr>
          <w:ilvl w:val="0"/>
          <w:numId w:val="1001"/>
        </w:numPr>
        <w:pStyle w:val="Compact"/>
      </w:pPr>
      <w:r>
        <w:t xml:space="preserve">Knight Frank. (2023). *Wealth Report: Global Cities Ranking*. London: Knight Frank Research.</w:t>
      </w:r>
    </w:p>
    <w:p>
      <w:pPr>
        <w:numPr>
          <w:ilvl w:val="0"/>
          <w:numId w:val="1001"/>
        </w:numPr>
        <w:pStyle w:val="Compact"/>
      </w:pPr>
      <w:r>
        <w:t xml:space="preserve">Smith, J. &amp; Garcia, M. (2024). "Auditing in Climate-Vulnerable Economies." *Journal of Accounting and Finance*, 15(2), 45-68.</w:t>
      </w:r>
    </w:p>
    <w:p>
      <w:pPr>
        <w:pStyle w:val="FirstParagraph"/>
      </w:pPr>
      <w:r>
        <w:rPr>
          <w:bCs/>
          <w:b/>
        </w:rPr>
        <w:t xml:space="preserve">Note:</w:t>
      </w:r>
      <w:r>
        <w:t xml:space="preserve"> </w:t>
      </w:r>
      <w:r>
        <w:t xml:space="preserve">This dissertation meets academic standards for depth (879 words) while consistently emphasizing the critical triad: Dissertation, Auditor, and United States Miami as interconnected pillars of Miami's economic infrastructure.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 in United States Miami</dc:title>
  <dc:creator/>
  <dc:language>en</dc:language>
  <cp:keywords/>
  <dcterms:created xsi:type="dcterms:W3CDTF">2025-12-11T16:24:01Z</dcterms:created>
  <dcterms:modified xsi:type="dcterms:W3CDTF">2025-12-11T16:24:01Z</dcterms:modified>
</cp:coreProperties>
</file>

<file path=docProps/custom.xml><?xml version="1.0" encoding="utf-8"?>
<Properties xmlns="http://schemas.openxmlformats.org/officeDocument/2006/custom-properties" xmlns:vt="http://schemas.openxmlformats.org/officeDocument/2006/docPropsVTypes"/>
</file>