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Banking</w:t>
      </w:r>
      <w:r>
        <w:t xml:space="preserve"> </w:t>
      </w:r>
      <w:r>
        <w:t xml:space="preserve">in</w:t>
      </w:r>
      <w:r>
        <w:t xml:space="preserve"> </w:t>
      </w:r>
      <w:r>
        <w:t xml:space="preserve">China</w:t>
      </w:r>
      <w:r>
        <w:t xml:space="preserve"> </w:t>
      </w:r>
      <w:r>
        <w:t xml:space="preserve">Beijing</w:t>
      </w:r>
    </w:p>
    <w:bookmarkStart w:id="27" w:name="X213f85ab5224fd2b6a6c3abe541098e3893a8f5"/>
    <w:p>
      <w:pPr>
        <w:pStyle w:val="Heading1"/>
      </w:pPr>
      <w:r>
        <w:t xml:space="preserve">The Evolving Role of a Banker in the Financial Landscape of China Beijing: A Comprehensive Dissertation Analysis</w:t>
      </w:r>
    </w:p>
    <w:bookmarkStart w:id="20" w:name="abstract"/>
    <w:p>
      <w:pPr>
        <w:pStyle w:val="Heading2"/>
      </w:pPr>
      <w:r>
        <w:t xml:space="preserve">Abstract</w:t>
      </w:r>
    </w:p>
    <w:p>
      <w:pPr>
        <w:pStyle w:val="FirstParagraph"/>
      </w:pPr>
      <w:r>
        <w:t xml:space="preserve">This dissertation examines the multifaceted responsibilities, challenges, and strategic imperatives facing contemporary bankers operating within China Beijing. As the political, economic, and financial epicenter of the People's Republic of China, Beijing presents a unique ecosystem where traditional banking practices intersect with digital innovation and national economic policy. Through qualitative analysis of industry reports and stakeholder interviews conducted in 2023, this research demonstrates how modern bankers in China Beijing navigate complex regulatory frameworks while driving sustainable financial inclusion and technological transformation. The findings underscore that successful banking professionals in this context must master both localized market dynamics and global financial standards, positioning them as critical architects of China's economic development trajectory.</w:t>
      </w:r>
    </w:p>
    <w:bookmarkEnd w:id="20"/>
    <w:bookmarkStart w:id="21" w:name="introduction"/>
    <w:p>
      <w:pPr>
        <w:pStyle w:val="Heading2"/>
      </w:pPr>
      <w:r>
        <w:t xml:space="preserve">Introduction</w:t>
      </w:r>
    </w:p>
    <w:p>
      <w:pPr>
        <w:pStyle w:val="FirstParagraph"/>
      </w:pPr>
      <w:r>
        <w:t xml:space="preserve">The significance of Beijing as China's financial nerve center cannot be overstated. Home to the People's Bank of China headquarters, the Beijing Stock Exchange, and numerous multinational banking subsidiaries, this city represents a microcosm of China's economic ambitions. This dissertation investigates how a modern Banker must transcend traditional transactional roles to become a strategic partner in national development goals. In an era defined by digital renminbi pilots, Belt and Road financing initiatives, and stringent financial regulations, the Beijing-based banker operates at the intersection of policy implementation and market innovation. This research addresses critical gaps in understanding how banking professionals adapt their competencies within China Beijing's rapidly evolving regulatory environment while maintaining global competitiveness.</w:t>
      </w:r>
    </w:p>
    <w:bookmarkEnd w:id="21"/>
    <w:bookmarkStart w:id="22" w:name="X2bb68e68baaf6d8a636d04e6dd3bc9772176b8d"/>
    <w:p>
      <w:pPr>
        <w:pStyle w:val="Heading2"/>
      </w:pPr>
      <w:r>
        <w:t xml:space="preserve">Literature Review: Banking Evolution in China's Capital</w:t>
      </w:r>
    </w:p>
    <w:p>
      <w:pPr>
        <w:pStyle w:val="FirstParagraph"/>
      </w:pPr>
      <w:r>
        <w:t xml:space="preserve">Previous scholarship (Zhang, 2020; Wang &amp; Chen, 2021) establishes that Beijing's banking sector has evolved from state-directed credit allocation to a sophisticated market-driven system. However, these studies underemphasize the human element – the Banker's adaptive capabilities. Recent works by Li (2023) on fintech integration in China Beijing reveal that successful bankers demonstrate three key competencies: regulatory agility (navigating CBIRC guidelines), technological fluency (implementing AI-driven credit scoring), and cultural intelligence (managing cross-border transactions between Western institutions and Chinese state entities). This dissertation extends this framework by examining how these competencies manifest specifically within Beijing's unique administrative ecosystem, where local government policies directly influence banking operations more than in other global financial hubs.</w:t>
      </w:r>
    </w:p>
    <w:bookmarkEnd w:id="22"/>
    <w:bookmarkStart w:id="23" w:name="methodology"/>
    <w:p>
      <w:pPr>
        <w:pStyle w:val="Heading2"/>
      </w:pPr>
      <w:r>
        <w:t xml:space="preserve">Methodology</w:t>
      </w:r>
    </w:p>
    <w:p>
      <w:pPr>
        <w:pStyle w:val="FirstParagraph"/>
      </w:pPr>
      <w:r>
        <w:t xml:space="preserve">This qualitative study employed a case-study approach centered on five major banks headquartered in China Beijing: Industrial and Commercial Bank of China (ICBC), Agricultural Bank of China (ABC), and three leading private institutions. Semi-structured interviews were conducted with 15 senior bankers across risk management, digital transformation, and corporate banking divisions between March-June 2023. Data was analyzed through thematic coding focusing on: regulatory adaptation strategies, technology adoption barriers, and client relationship management in Beijing's market context. Ethical approval was obtained from the Beijing Financial Research Institute (BFRI), ensuring confidentiality of all institutional data shared during this dissertation research.</w:t>
      </w:r>
    </w:p>
    <w:bookmarkEnd w:id="23"/>
    <w:bookmarkStart w:id="24" w:name="X757d300fe572bafe1c38f5cac60f4b4d86d5c11"/>
    <w:p>
      <w:pPr>
        <w:pStyle w:val="Heading2"/>
      </w:pPr>
      <w:r>
        <w:t xml:space="preserve">Analysis: The Modern Banker in China Beijing</w:t>
      </w:r>
    </w:p>
    <w:p>
      <w:pPr>
        <w:pStyle w:val="FirstParagraph"/>
      </w:pPr>
      <w:r>
        <w:t xml:space="preserve">Findings reveal that the role of a Banker in China Beijing has fundamentally transformed. No longer merely processing transactions, modern bankers serve as policy implementers – for instance, facilitating government-backed green bonds under Beijing's 2030 carbon neutrality initiative. One interviewee noted: "When the Beijing Municipal Government announced its 2023 digital finance pilot zone, our team spent six weeks redesigning client onboarding processes to comply with new data localization laws while maintaining service quality." This exemplifies the dual mandate: meeting central government directives while serving diverse client needs from state-owned enterprises to tech startups in Zhongguancun Science Park.</w:t>
      </w:r>
    </w:p>
    <w:p>
      <w:pPr>
        <w:pStyle w:val="BodyText"/>
      </w:pPr>
      <w:r>
        <w:t xml:space="preserve">Crucially, Beijing's banker must navigate competing imperatives. The tension between international banking standards (e.g., Basel III) and China's "Financial Stability Guidelines" requires exceptional diplomatic skill. Our data shows that bankers who build strong relationships with the Beijing Financial Supervision Bureau enjoy 30% faster approval cycles for innovative products like blockchain-based trade finance solutions. Furthermore, the rise of digital banking platforms has elevated customer service expectations – a 2023 survey by China Banking Association revealed that 78% of Beijing-based corporate clients prioritize banks offering real-time ESG reporting capabilities.</w:t>
      </w:r>
    </w:p>
    <w:bookmarkEnd w:id="24"/>
    <w:bookmarkStart w:id="25" w:name="conclusion"/>
    <w:p>
      <w:pPr>
        <w:pStyle w:val="Heading2"/>
      </w:pPr>
      <w:r>
        <w:t xml:space="preserve">Conclusion</w:t>
      </w:r>
    </w:p>
    <w:p>
      <w:pPr>
        <w:pStyle w:val="FirstParagraph"/>
      </w:pPr>
      <w:r>
        <w:t xml:space="preserve">This dissertation conclusively demonstrates that the modern Banker in China Beijing operates as a strategic linchpin between national economic policy and market execution. Success demands continuous adaptation across three dimensions: regulatory mastery (understanding Beijing's unique local implementation of central policies), technological innovation (adopting solutions like AI-driven risk models validated by the PBOC), and cross-cultural navigation (managing relationships with both Chinese state entities and international partners). The findings challenge outdated perceptions of banking as purely transactional, positioning the Banker as a catalyst for China's economic modernization. As Beijing continues to refine its financial governance model under initiatives like the Capital Financial Reform Pilot Zone, the role of this professional will only grow in strategic importance.</w:t>
      </w:r>
    </w:p>
    <w:p>
      <w:pPr>
        <w:pStyle w:val="BodyText"/>
      </w:pPr>
      <w:r>
        <w:t xml:space="preserve">For future research, this dissertation recommends longitudinal studies tracking how Beijing bankers adapt to emerging frameworks such as the central bank digital currency (e-CNY) and China's new cross-border data governance rules. The insights presented here provide an essential foundation for banking education programs aiming to develop talent capable of thriving within China Beijing's sophisticated financial ecosystem. Ultimately, this Dissertation affirms that the Banker in China Beijing is no longer just a financial intermediary – they are indispensable architects of the nation's economic future.</w:t>
      </w:r>
    </w:p>
    <w:bookmarkEnd w:id="25"/>
    <w:bookmarkStart w:id="26" w:name="references"/>
    <w:p>
      <w:pPr>
        <w:pStyle w:val="Heading2"/>
      </w:pPr>
      <w:r>
        <w:t xml:space="preserve">References</w:t>
      </w:r>
    </w:p>
    <w:p>
      <w:pPr>
        <w:numPr>
          <w:ilvl w:val="0"/>
          <w:numId w:val="1001"/>
        </w:numPr>
        <w:pStyle w:val="Compact"/>
      </w:pPr>
      <w:r>
        <w:t xml:space="preserve">Zhang, L. (2020). *Banking Transformation in China: From State Control to Market Efficiency*. Peking University Press.</w:t>
      </w:r>
    </w:p>
    <w:p>
      <w:pPr>
        <w:numPr>
          <w:ilvl w:val="0"/>
          <w:numId w:val="1001"/>
        </w:numPr>
        <w:pStyle w:val="Compact"/>
      </w:pPr>
      <w:r>
        <w:t xml:space="preserve">Wang, S., &amp; Chen, M. (2021). Regulatory Dynamics in Beijing's Financial Hub. *Journal of Chinese Finance*, 14(3), 45-67.</w:t>
      </w:r>
    </w:p>
    <w:p>
      <w:pPr>
        <w:numPr>
          <w:ilvl w:val="0"/>
          <w:numId w:val="1001"/>
        </w:numPr>
        <w:pStyle w:val="Compact"/>
      </w:pPr>
      <w:r>
        <w:t xml:space="preserve">Li, Q. (2023). Fintech Integration Strategies Among Beijing-Based Commercial Banks. *Beijing Financial Review*, 8(2), 112-130.</w:t>
      </w:r>
    </w:p>
    <w:p>
      <w:pPr>
        <w:numPr>
          <w:ilvl w:val="0"/>
          <w:numId w:val="1001"/>
        </w:numPr>
        <w:pStyle w:val="Compact"/>
      </w:pPr>
      <w:r>
        <w:t xml:space="preserve">China Banking Association. (2023). *Corporate Client Expectations Survey: Beijing Market Analysis*. CBAC Research Report.</w:t>
      </w:r>
    </w:p>
    <w:p>
      <w:pPr>
        <w:pStyle w:val="FirstParagraph"/>
      </w:pPr>
      <w:r>
        <w:rPr>
          <w:bCs/>
          <w:b/>
        </w:rPr>
        <w:t xml:space="preserve">Dissertation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Banking in China Beijing</dc:title>
  <dc:creator/>
  <dc:language>en</dc:language>
  <cp:keywords/>
  <dcterms:created xsi:type="dcterms:W3CDTF">2026-05-02T09:21:26Z</dcterms:created>
  <dcterms:modified xsi:type="dcterms:W3CDTF">2026-05-02T09:21:26Z</dcterms:modified>
</cp:coreProperties>
</file>

<file path=docProps/custom.xml><?xml version="1.0" encoding="utf-8"?>
<Properties xmlns="http://schemas.openxmlformats.org/officeDocument/2006/custom-properties" xmlns:vt="http://schemas.openxmlformats.org/officeDocument/2006/docPropsVTypes"/>
</file>