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Guangzhou's</w:t>
      </w:r>
      <w:r>
        <w:t xml:space="preserve"> </w:t>
      </w:r>
      <w:r>
        <w:t xml:space="preserve">Financial</w:t>
      </w:r>
      <w:r>
        <w:t xml:space="preserve"> </w:t>
      </w:r>
      <w:r>
        <w:t xml:space="preserve">Ecosystem</w:t>
      </w:r>
    </w:p>
    <w:bookmarkStart w:id="27" w:name="Xa0678d70724a968e8217598d23aa75738aa3e7e"/>
    <w:p>
      <w:pPr>
        <w:pStyle w:val="Heading1"/>
      </w:pPr>
      <w:r>
        <w:t xml:space="preserve">Dissertation: The Critical Role of the Modern Banker within China Guangzhou's Dynamic Financial Landscape</w:t>
      </w:r>
    </w:p>
    <w:bookmarkStart w:id="20" w:name="abstract"/>
    <w:p>
      <w:pPr>
        <w:pStyle w:val="Heading2"/>
      </w:pPr>
      <w:r>
        <w:t xml:space="preserve">Abstract</w:t>
      </w:r>
    </w:p>
    <w:p>
      <w:pPr>
        <w:pStyle w:val="FirstParagraph"/>
      </w:pPr>
      <w:r>
        <w:t xml:space="preserve">This Dissertation examines the pivotal role of the banker in fostering economic growth and financial stability within China Guangzhou. As a leading hub for trade, manufacturing, and innovation in southern China, Guangzhou's banking sector serves as a critical engine for regional development. This research analyzes the evolving responsibilities of the banker beyond traditional transactional duties, emphasizing cross-cultural competence, technological adaptation, and strategic alignment with national economic policies. The study concludes that success in this context demands a sophisticated understanding of both local market dynamics and global financial trends.</w:t>
      </w:r>
    </w:p>
    <w:bookmarkEnd w:id="20"/>
    <w:bookmarkStart w:id="21" w:name="X7c07cbc6680c5950ee344b3b34d77ba08fee43e"/>
    <w:p>
      <w:pPr>
        <w:pStyle w:val="Heading2"/>
      </w:pPr>
      <w:r>
        <w:t xml:space="preserve">1. Introduction: China Guangzhou as a Financial Nexus</w:t>
      </w:r>
    </w:p>
    <w:p>
      <w:pPr>
        <w:pStyle w:val="FirstParagraph"/>
      </w:pPr>
      <w:r>
        <w:t xml:space="preserve">China Guangzhou stands as one of the most significant economic powerhouses within the People's Republic of China, consistently ranking among the top cities for GDP output, foreign trade volume, and manufacturing capacity. Strategically located at the heart of the Pearl River Delta and serving as a gateway to Southeast Asia, Guangzhou's economic vitality is intrinsically linked to its robust financial infrastructure. The city hosts numerous domestic banks' regional headquarters (e.g., China Construction Bank - CCB Guangzhou Branch, Industrial and Commercial Bank of China - ICBC Guangdong), major foreign bank representative offices (HSBC, Standard Chartered), and burgeoning fintech enterprises. This Dissertation argues that the effectiveness of the modern</w:t>
      </w:r>
      <w:r>
        <w:t xml:space="preserve"> </w:t>
      </w:r>
      <w:r>
        <w:rPr>
          <w:iCs/>
          <w:i/>
        </w:rPr>
        <w:t xml:space="preserve">Banker</w:t>
      </w:r>
      <w:r>
        <w:t xml:space="preserve"> </w:t>
      </w:r>
      <w:r>
        <w:t xml:space="preserve">operating within this unique environment is paramount to sustaining Guangzhou's economic momentum and integrating it into broader national strategies like the Greater Bay Area Development Plan.</w:t>
      </w:r>
    </w:p>
    <w:bookmarkEnd w:id="21"/>
    <w:bookmarkStart w:id="22" w:name="X6c58f3e3192c34102b3f20e876ae48ee2b5a153"/>
    <w:p>
      <w:pPr>
        <w:pStyle w:val="Heading2"/>
      </w:pPr>
      <w:r>
        <w:t xml:space="preserve">2. The Evolving Profile of the Banker in China Guangzhou</w:t>
      </w:r>
    </w:p>
    <w:p>
      <w:pPr>
        <w:pStyle w:val="FirstParagraph"/>
      </w:pPr>
      <w:r>
        <w:t xml:space="preserve">The traditional image of a banker focused solely on loan approvals and deposit management has undergone a radical transformation in China Guangzhou. Today's successful banker must be a strategic advisor, technology-savvy analyst, and cultural broker. Key aspects include:</w:t>
      </w:r>
    </w:p>
    <w:p>
      <w:pPr>
        <w:numPr>
          <w:ilvl w:val="0"/>
          <w:numId w:val="1001"/>
        </w:numPr>
        <w:pStyle w:val="Compact"/>
      </w:pPr>
      <w:r>
        <w:rPr>
          <w:bCs/>
          <w:b/>
        </w:rPr>
        <w:t xml:space="preserve">Deep Local Market Knowledge:</w:t>
      </w:r>
      <w:r>
        <w:t xml:space="preserve"> </w:t>
      </w:r>
      <w:r>
        <w:t xml:space="preserve">Understanding the nuances of Guangzhou's dominant industries – electronics manufacturing (e.g., Huangpu District), automotive (e.g., GAC Group), e-commerce (e.g., Alibaba's influence via Guangzhou logistics hubs), and trade finance – is non-negotiable. The banker must grasp supply chain dynamics specific to this region.</w:t>
      </w:r>
    </w:p>
    <w:p>
      <w:pPr>
        <w:numPr>
          <w:ilvl w:val="0"/>
          <w:numId w:val="1001"/>
        </w:numPr>
        <w:pStyle w:val="Compact"/>
      </w:pPr>
      <w:r>
        <w:rPr>
          <w:bCs/>
          <w:b/>
        </w:rPr>
        <w:t xml:space="preserve">Regulatory Acumen:</w:t>
      </w:r>
      <w:r>
        <w:t xml:space="preserve"> </w:t>
      </w:r>
      <w:r>
        <w:t xml:space="preserve">Navigating the complex, rapidly evolving regulatory environment overseen by the China Banking and Insurance Regulatory Commission (CBIRC) and local branches is critical. Guangzhou's role in pilot programs (e.g., cross-border RMB settlement, Nansha Free Trade Zone initiatives) demands bankers who can interpret and implement new rules swiftly.</w:t>
      </w:r>
    </w:p>
    <w:p>
      <w:pPr>
        <w:numPr>
          <w:ilvl w:val="0"/>
          <w:numId w:val="1001"/>
        </w:numPr>
        <w:pStyle w:val="Compact"/>
      </w:pPr>
      <w:r>
        <w:rPr>
          <w:bCs/>
          <w:b/>
        </w:rPr>
        <w:t xml:space="preserve">Cross-Cultural Competence:</w:t>
      </w:r>
      <w:r>
        <w:t xml:space="preserve"> </w:t>
      </w:r>
      <w:r>
        <w:t xml:space="preserve">Guangzhou's position as a major international port necessitates bankers fluent in English and often Cantonese. They must effectively engage with local SMEs, multinational corporations (MNCs) establishing regional HQs, and investors from ASEAN nations, building trust across cultural divides.</w:t>
      </w:r>
    </w:p>
    <w:p>
      <w:pPr>
        <w:numPr>
          <w:ilvl w:val="0"/>
          <w:numId w:val="1001"/>
        </w:numPr>
        <w:pStyle w:val="Compact"/>
      </w:pPr>
      <w:r>
        <w:rPr>
          <w:bCs/>
          <w:b/>
        </w:rPr>
        <w:t xml:space="preserve">Digital Fluency:</w:t>
      </w:r>
      <w:r>
        <w:t xml:space="preserve"> </w:t>
      </w:r>
      <w:r>
        <w:t xml:space="preserve">Guangzhou's fintech adoption is high. The modern banker must leverage digital platforms for customer engagement (e.g., WeChat Banking integration), data analytics for risk assessment, and understand blockchain applications in trade finance – core to serving the city's innovative ecosystem.</w:t>
      </w:r>
    </w:p>
    <w:bookmarkEnd w:id="22"/>
    <w:bookmarkStart w:id="23" w:name="X5d6a8b0be67e8818724e383ea5a9835bca8036f"/>
    <w:p>
      <w:pPr>
        <w:pStyle w:val="Heading2"/>
      </w:pPr>
      <w:r>
        <w:t xml:space="preserve">3. Challenges Facing the Banker in China Guangzhou</w:t>
      </w:r>
    </w:p>
    <w:p>
      <w:pPr>
        <w:pStyle w:val="FirstParagraph"/>
      </w:pPr>
      <w:r>
        <w:t xml:space="preserve">Operating effectively as a banker within China Guangzhou presents distinct challenges:</w:t>
      </w:r>
    </w:p>
    <w:p>
      <w:pPr>
        <w:numPr>
          <w:ilvl w:val="0"/>
          <w:numId w:val="1002"/>
        </w:numPr>
        <w:pStyle w:val="Compact"/>
      </w:pPr>
      <w:r>
        <w:rPr>
          <w:bCs/>
          <w:b/>
        </w:rPr>
        <w:t xml:space="preserve">Intense Competition:</w:t>
      </w:r>
      <w:r>
        <w:t xml:space="preserve"> </w:t>
      </w:r>
      <w:r>
        <w:t xml:space="preserve">The market is saturated with domestic giants (e.g., Bank of Communications, Ping An Bank), foreign entrants, and agile fintech startups vying for market share in sectors like SME lending and wealth management.</w:t>
      </w:r>
    </w:p>
    <w:p>
      <w:pPr>
        <w:numPr>
          <w:ilvl w:val="0"/>
          <w:numId w:val="1002"/>
        </w:numPr>
        <w:pStyle w:val="Compact"/>
      </w:pPr>
      <w:r>
        <w:rPr>
          <w:bCs/>
          <w:b/>
        </w:rPr>
        <w:t xml:space="preserve">Economic Volatility &amp; Risk Management:</w:t>
      </w:r>
      <w:r>
        <w:t xml:space="preserve"> </w:t>
      </w:r>
      <w:r>
        <w:t xml:space="preserve">Guangzhou's economy, while strong, faces headwinds from global supply chain shifts. The banker must adeptly assess risks in key export-oriented industries and navigate potential slowdowns without stifling growth.</w:t>
      </w:r>
    </w:p>
    <w:p>
      <w:pPr>
        <w:numPr>
          <w:ilvl w:val="0"/>
          <w:numId w:val="1002"/>
        </w:numPr>
        <w:pStyle w:val="Compact"/>
      </w:pPr>
      <w:r>
        <w:rPr>
          <w:bCs/>
          <w:b/>
        </w:rPr>
        <w:t xml:space="preserve">Regulatory Pressure &amp; Compliance Costs:</w:t>
      </w:r>
      <w:r>
        <w:t xml:space="preserve"> </w:t>
      </w:r>
      <w:r>
        <w:t xml:space="preserve">Increasing focus on anti-money laundering (AML), data security (Cybersecurity Law), and green finance mandates adds complexity. Ensuring compliance while maintaining customer service efficiency is a constant balancing act for the banker.</w:t>
      </w:r>
    </w:p>
    <w:p>
      <w:pPr>
        <w:numPr>
          <w:ilvl w:val="0"/>
          <w:numId w:val="1002"/>
        </w:numPr>
        <w:pStyle w:val="Compact"/>
      </w:pPr>
      <w:r>
        <w:rPr>
          <w:bCs/>
          <w:b/>
        </w:rPr>
        <w:t xml:space="preserve">Skill Gap in Digital Transformation:</w:t>
      </w:r>
      <w:r>
        <w:t xml:space="preserve"> </w:t>
      </w:r>
      <w:r>
        <w:t xml:space="preserve">Many traditional bankers lack the advanced data science or fintech integration skills required, creating a bottleneck for banks seeking to modernize their Guangzhou operations.</w:t>
      </w:r>
    </w:p>
    <w:bookmarkEnd w:id="23"/>
    <w:bookmarkStart w:id="24" w:name="X2a81727be93db8aed946cbb4cc3a600c44ec279"/>
    <w:p>
      <w:pPr>
        <w:pStyle w:val="Heading2"/>
      </w:pPr>
      <w:r>
        <w:t xml:space="preserve">4. The Future Trajectory: Strategic Imperatives for the Banker</w:t>
      </w:r>
    </w:p>
    <w:p>
      <w:pPr>
        <w:pStyle w:val="FirstParagraph"/>
      </w:pPr>
      <w:r>
        <w:t xml:space="preserve">The future success of banking in China Guangzhou hinges on the banker's ability to embrace strategic shifts:</w:t>
      </w:r>
    </w:p>
    <w:p>
      <w:pPr>
        <w:numPr>
          <w:ilvl w:val="0"/>
          <w:numId w:val="1003"/>
        </w:numPr>
        <w:pStyle w:val="Compact"/>
      </w:pPr>
      <w:r>
        <w:rPr>
          <w:bCs/>
          <w:b/>
        </w:rPr>
        <w:t xml:space="preserve">Green Finance Leadership:</w:t>
      </w:r>
      <w:r>
        <w:t xml:space="preserve"> </w:t>
      </w:r>
      <w:r>
        <w:t xml:space="preserve">As part of China's dual-carbon goals, bankers must actively develop and promote green loans, sustainable bonds, and ESG (Environmental, Social, Governance) frameworks tailored for Guangzhou's industries (e.g., renewable energy projects in the city's suburbs).</w:t>
      </w:r>
    </w:p>
    <w:p>
      <w:pPr>
        <w:numPr>
          <w:ilvl w:val="0"/>
          <w:numId w:val="1003"/>
        </w:numPr>
        <w:pStyle w:val="Compact"/>
      </w:pPr>
      <w:r>
        <w:rPr>
          <w:bCs/>
          <w:b/>
        </w:rPr>
        <w:t xml:space="preserve">Deepening Cross-Border Integration:</w:t>
      </w:r>
      <w:r>
        <w:t xml:space="preserve"> </w:t>
      </w:r>
      <w:r>
        <w:t xml:space="preserve">Leveraging Guangzhou's position within the Greater Bay Area and Belt and Road Initiative (BRI), bankers will need enhanced expertise in cross-border transactions, FX management, and supporting Chinese companies expanding into Southeast Asia.</w:t>
      </w:r>
    </w:p>
    <w:p>
      <w:pPr>
        <w:numPr>
          <w:ilvl w:val="0"/>
          <w:numId w:val="1003"/>
        </w:numPr>
        <w:pStyle w:val="Compact"/>
      </w:pPr>
      <w:r>
        <w:rPr>
          <w:bCs/>
          <w:b/>
        </w:rPr>
        <w:t xml:space="preserve">Precision Banking &amp; AI:</w:t>
      </w:r>
      <w:r>
        <w:t xml:space="preserve"> </w:t>
      </w:r>
      <w:r>
        <w:t xml:space="preserve">Utilizing AI for hyper-personalized customer service (e.g., predicting SME cash flow needs) and predictive risk modeling will become standard practice for the sophisticated banker.</w:t>
      </w:r>
    </w:p>
    <w:p>
      <w:pPr>
        <w:numPr>
          <w:ilvl w:val="0"/>
          <w:numId w:val="1003"/>
        </w:numPr>
        <w:pStyle w:val="Compact"/>
      </w:pPr>
      <w:r>
        <w:rPr>
          <w:bCs/>
          <w:b/>
        </w:rPr>
        <w:t xml:space="preserve">Building Ecosystem Partnerships:</w:t>
      </w:r>
      <w:r>
        <w:t xml:space="preserve"> </w:t>
      </w:r>
      <w:r>
        <w:t xml:space="preserve">The most successful bankers will act as connectors, facilitating partnerships between banks, fintechs, government agencies (e.g., Guangzhou Municipal Finance Bureau), and businesses to create integrated financial solutions.</w:t>
      </w:r>
    </w:p>
    <w:bookmarkEnd w:id="24"/>
    <w:bookmarkStart w:id="25" w:name="X3a823e128b126fb4b49f3ab392f92fb0a3ac8dd"/>
    <w:p>
      <w:pPr>
        <w:pStyle w:val="Heading2"/>
      </w:pPr>
      <w:r>
        <w:t xml:space="preserve">5. Conclusion: The Indispensable Banker in China Guangzhou's Prosperity</w:t>
      </w:r>
    </w:p>
    <w:p>
      <w:pPr>
        <w:pStyle w:val="FirstParagraph"/>
      </w:pPr>
      <w:r>
        <w:t xml:space="preserve">This Dissertation underscores that the role of the</w:t>
      </w:r>
      <w:r>
        <w:t xml:space="preserve"> </w:t>
      </w:r>
      <w:r>
        <w:rPr>
          <w:iCs/>
          <w:i/>
        </w:rPr>
        <w:t xml:space="preserve">Banker</w:t>
      </w:r>
      <w:r>
        <w:t xml:space="preserve"> </w:t>
      </w:r>
      <w:r>
        <w:t xml:space="preserve">in China Guangzhou transcends transactional finance. The modern banker is a linchpin for economic resilience, innovation adoption, and strategic alignment with national objectives. Success requires continuous adaptation – mastering local intricacies while embracing digital transformation and global best practices. In a city as dynamic as Guangzhou, where trade flows meet technological disruption at unprecedented speed, the skilled banker is not merely an employee but a critical catalyst for sustainable growth. As China Guangzhou continues to evolve from a manufacturing powerhouse into an integrated innovation and financial center within the Greater Bay Area, the value of a competent, forward-thinking Banker will only intensify. Investing in developing this specialized talent pool is not optional; it is fundamental to securing Guangzhou's position as a leading global financial hub for China's next decade. The future of China Guangzhou's economy is inextricably linked to the capabilities and strategic vision of its banking professionals.</w:t>
      </w:r>
    </w:p>
    <w:bookmarkEnd w:id="25"/>
    <w:bookmarkStart w:id="26" w:name="references-illustrative"/>
    <w:p>
      <w:pPr>
        <w:pStyle w:val="Heading2"/>
      </w:pPr>
      <w:r>
        <w:t xml:space="preserve">References (Illustrative)</w:t>
      </w:r>
    </w:p>
    <w:p>
      <w:pPr>
        <w:pStyle w:val="FirstParagraph"/>
      </w:pPr>
      <w:r>
        <w:t xml:space="preserve">State Council. (2021). Outline Development Plan for the Guangdong-Hong Kong-Macao Greater Bay Area.</w:t>
      </w:r>
      <w:r>
        <w:br/>
      </w:r>
      <w:r>
        <w:t xml:space="preserve">China Banking and Insurance Regulatory Commission (CBIRC). (Annual Reports).</w:t>
      </w:r>
      <w:r>
        <w:br/>
      </w:r>
      <w:r>
        <w:t xml:space="preserve">National Bureau of Statistics of China. (Latest Economic Indicators for Guangzhou).</w:t>
      </w:r>
      <w:r>
        <w:br/>
      </w:r>
      <w:r>
        <w:t xml:space="preserve">World Bank. (2023). Doing Business Report: Financial Services in Guangzhou.</w:t>
      </w:r>
      <w:r>
        <w:br/>
      </w:r>
      <w:r>
        <w:t xml:space="preserve">Peng, S. &amp; Li, H. (2022). Fintech Adoption and Banking Strategy in Southern Chinese Cities. *Journal of Financial Technology*, 15(3),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Banker in China Guangzhou's Financial Ecosystem</dc:title>
  <dc:creator/>
  <dc:language>en</dc:language>
  <cp:keywords/>
  <dcterms:created xsi:type="dcterms:W3CDTF">2026-07-20T16:01:16Z</dcterms:created>
  <dcterms:modified xsi:type="dcterms:W3CDTF">2026-07-20T16:01:16Z</dcterms:modified>
</cp:coreProperties>
</file>

<file path=docProps/custom.xml><?xml version="1.0" encoding="utf-8"?>
<Properties xmlns="http://schemas.openxmlformats.org/officeDocument/2006/custom-properties" xmlns:vt="http://schemas.openxmlformats.org/officeDocument/2006/docPropsVTypes"/>
</file>