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Professional</w:t>
      </w:r>
      <w:r>
        <w:t xml:space="preserve"> </w:t>
      </w:r>
      <w:r>
        <w:t xml:space="preserve">Analysis</w:t>
      </w:r>
    </w:p>
    <w:bookmarkStart w:id="25" w:name="X16c4b0999dde64dd7629bc582429cde96ed7559"/>
    <w:p>
      <w:pPr>
        <w:pStyle w:val="Heading1"/>
      </w:pPr>
      <w:r>
        <w:t xml:space="preserve">The Modern Banker's Role in Germany Frankfurt: A Dissertation-Level Examination of Financial Excellence</w:t>
      </w:r>
    </w:p>
    <w:p>
      <w:pPr>
        <w:pStyle w:val="FirstParagraph"/>
      </w:pPr>
      <w:r>
        <w:rPr>
          <w:bCs/>
          <w:b/>
        </w:rPr>
        <w:t xml:space="preserve">Abstract:</w:t>
      </w:r>
      <w:r>
        <w:t xml:space="preserve"> </w:t>
      </w:r>
      <w:r>
        <w:t xml:space="preserve">This professional analysis serves as a comprehensive dissertation on the evolving role of the contemporary banker within Germany's premier financial hub, Frankfurt am Main. As Europe's leading financial center and home to critical institutions like the European Central Bank (ECB) and numerous global banks, Frankfurt represents an unparalleled environment for banking professionals. This document examines the strategic significance of banking in Germany Frankfurt, delineates core competencies required of modern bankers, and analyzes sector-specific challenges and opportunities within this pivotal ecosystem.</w:t>
      </w:r>
    </w:p>
    <w:bookmarkStart w:id="20" w:name="Xff41e8189793375a4e19be8b45541c137b7c3d1"/>
    <w:p>
      <w:pPr>
        <w:pStyle w:val="Heading2"/>
      </w:pPr>
      <w:r>
        <w:t xml:space="preserve">Introduction: Frankfurt as the Heartbeat of European Finance</w:t>
      </w:r>
    </w:p>
    <w:p>
      <w:pPr>
        <w:pStyle w:val="FirstParagraph"/>
      </w:pPr>
      <w:r>
        <w:t xml:space="preserve">Germany Frankfurt transcends its status as a mere city; it is the undisputed financial nucleus of continental Europe. The presence of the ECB, Deutsche Bundesbank, DAX-listed corporations, and over 300 international banks creates a unique concentration of capital, expertise, and regulatory influence. Within this dynamic landscape, the role of the</w:t>
      </w:r>
      <w:r>
        <w:t xml:space="preserve"> </w:t>
      </w:r>
      <w:r>
        <w:rPr>
          <w:iCs/>
          <w:i/>
        </w:rPr>
        <w:t xml:space="preserve">Banker</w:t>
      </w:r>
      <w:r>
        <w:t xml:space="preserve"> </w:t>
      </w:r>
      <w:r>
        <w:t xml:space="preserve">has evolved from traditional transactional functions to encompass strategic advisory roles requiring deep regulatory acumen and global market foresight. This dissertation-level analysis underscores why understanding the</w:t>
      </w:r>
      <w:r>
        <w:t xml:space="preserve"> </w:t>
      </w:r>
      <w:r>
        <w:rPr>
          <w:iCs/>
          <w:i/>
        </w:rPr>
        <w:t xml:space="preserve">Banker</w:t>
      </w:r>
      <w:r>
        <w:t xml:space="preserve">'s function in</w:t>
      </w:r>
      <w:r>
        <w:t xml:space="preserve"> </w:t>
      </w:r>
      <w:r>
        <w:rPr>
          <w:bCs/>
          <w:b/>
        </w:rPr>
        <w:t xml:space="preserve">Germany Frankfurt</w:t>
      </w:r>
      <w:r>
        <w:t xml:space="preserve"> </w:t>
      </w:r>
      <w:r>
        <w:t xml:space="preserve">is not merely advantageous but fundamental for navigating Europe's financial future.</w:t>
      </w:r>
    </w:p>
    <w:bookmarkEnd w:id="20"/>
    <w:bookmarkStart w:id="21" w:name="X0f72dbd2daad4c4ae21814ea2f63ad3b959df09"/>
    <w:p>
      <w:pPr>
        <w:pStyle w:val="Heading2"/>
      </w:pPr>
      <w:r>
        <w:t xml:space="preserve">The Frankfurt Banking Ecosystem: Structure and Significance</w:t>
      </w:r>
    </w:p>
    <w:p>
      <w:pPr>
        <w:pStyle w:val="FirstParagraph"/>
      </w:pPr>
      <w:r>
        <w:t xml:space="preserve">The banking ecosystem in Germany Frankfurt operates at a scale and complexity unmatched elsewhere. Major universal banks (e.g., Deutsche Bank, Commerzbank), investment banks (Goldman Sachs, JPMorgan), asset managers (Allianz, DWS), and specialized institutions coexist within close proximity to the ECB's headquarters. This density fosters intense collaboration but also heightened competition. A</w:t>
      </w:r>
      <w:r>
        <w:t xml:space="preserve"> </w:t>
      </w:r>
      <w:r>
        <w:rPr>
          <w:iCs/>
          <w:i/>
        </w:rPr>
        <w:t xml:space="preserve">Banker</w:t>
      </w:r>
      <w:r>
        <w:t xml:space="preserve"> </w:t>
      </w:r>
      <w:r>
        <w:t xml:space="preserve">operating in Frankfurt must possess a nuanced understanding of this interconnected system:</w:t>
      </w:r>
    </w:p>
    <w:p>
      <w:pPr>
        <w:numPr>
          <w:ilvl w:val="0"/>
          <w:numId w:val="1001"/>
        </w:numPr>
        <w:pStyle w:val="Compact"/>
      </w:pPr>
      <w:r>
        <w:rPr>
          <w:bCs/>
          <w:b/>
        </w:rPr>
        <w:t xml:space="preserve">Regulatory Nexus:</w:t>
      </w:r>
      <w:r>
        <w:t xml:space="preserve"> </w:t>
      </w:r>
      <w:r>
        <w:t xml:space="preserve">Direct interaction with the ECB, BaFin (German Financial Supervisory Authority), and EU-wide regulations (e.g., MiFID II, Basel III) is constant. The</w:t>
      </w:r>
      <w:r>
        <w:t xml:space="preserve"> </w:t>
      </w:r>
      <w:r>
        <w:rPr>
          <w:iCs/>
          <w:i/>
        </w:rPr>
        <w:t xml:space="preserve">Banker</w:t>
      </w:r>
      <w:r>
        <w:t xml:space="preserve"> </w:t>
      </w:r>
      <w:r>
        <w:t xml:space="preserve">must translate complex regulatory frameworks into actionable business strategies.</w:t>
      </w:r>
    </w:p>
    <w:p>
      <w:pPr>
        <w:numPr>
          <w:ilvl w:val="0"/>
          <w:numId w:val="1001"/>
        </w:numPr>
        <w:pStyle w:val="Compact"/>
      </w:pPr>
      <w:r>
        <w:rPr>
          <w:bCs/>
          <w:b/>
        </w:rPr>
        <w:t xml:space="preserve">Market Intelligence:</w:t>
      </w:r>
      <w:r>
        <w:t xml:space="preserve"> </w:t>
      </w:r>
      <w:r>
        <w:t xml:space="preserve">Frankfurt serves as a primary gateway for European capital flows. A successful</w:t>
      </w:r>
      <w:r>
        <w:t xml:space="preserve"> </w:t>
      </w:r>
      <w:r>
        <w:rPr>
          <w:iCs/>
          <w:i/>
        </w:rPr>
        <w:t xml:space="preserve">Banker</w:t>
      </w:r>
      <w:r>
        <w:t xml:space="preserve"> </w:t>
      </w:r>
      <w:r>
        <w:t xml:space="preserve">requires real-time insights into Eurozone monetary policy, sovereign debt markets, and corporate finance trends specific to the DAX ecosystem.</w:t>
      </w:r>
    </w:p>
    <w:p>
      <w:pPr>
        <w:numPr>
          <w:ilvl w:val="0"/>
          <w:numId w:val="1001"/>
        </w:numPr>
        <w:pStyle w:val="Compact"/>
      </w:pPr>
      <w:r>
        <w:rPr>
          <w:bCs/>
          <w:b/>
        </w:rPr>
        <w:t xml:space="preserve">Cross-Border Complexity:</w:t>
      </w:r>
      <w:r>
        <w:t xml:space="preserve"> </w:t>
      </w:r>
      <w:r>
        <w:t xml:space="preserve">Serving multinational clients demands fluency in international trade finance, FX management, and compliance across multiple jurisdictions – a core expectation for any</w:t>
      </w:r>
      <w:r>
        <w:t xml:space="preserve"> </w:t>
      </w:r>
      <w:r>
        <w:rPr>
          <w:iCs/>
          <w:i/>
        </w:rPr>
        <w:t xml:space="preserve">Banker</w:t>
      </w:r>
      <w:r>
        <w:t xml:space="preserve"> </w:t>
      </w:r>
      <w:r>
        <w:t xml:space="preserve">in Germany Frankfurt.</w:t>
      </w:r>
    </w:p>
    <w:bookmarkEnd w:id="21"/>
    <w:bookmarkStart w:id="22" w:name="X73e3ec46acf3b381543ca91c38531567b2acdca"/>
    <w:p>
      <w:pPr>
        <w:pStyle w:val="Heading2"/>
      </w:pPr>
      <w:r>
        <w:t xml:space="preserve">Evolving Competencies for the Contemporary Banker</w:t>
      </w:r>
    </w:p>
    <w:p>
      <w:pPr>
        <w:pStyle w:val="FirstParagraph"/>
      </w:pPr>
      <w:r>
        <w:t xml:space="preserve">The traditional profile of the banker in Germany Frankfurt has transformed dramatically. This dissertation emphasizes that modern banking excellence now requires a fusion of technical, strategic, and interpersonal skills:</w:t>
      </w:r>
    </w:p>
    <w:p>
      <w:pPr>
        <w:numPr>
          <w:ilvl w:val="0"/>
          <w:numId w:val="1002"/>
        </w:numPr>
        <w:pStyle w:val="Compact"/>
      </w:pPr>
      <w:r>
        <w:rPr>
          <w:bCs/>
          <w:b/>
        </w:rPr>
        <w:t xml:space="preserve">Advanced Data Literacy:</w:t>
      </w:r>
      <w:r>
        <w:t xml:space="preserve"> </w:t>
      </w:r>
      <w:r>
        <w:t xml:space="preserve">Beyond balance sheets, bankers utilize AI-driven analytics for risk assessment (credit scoring), client segmentation, and predictive market analysis. Proficiency in FinTech tools is no longer optional.</w:t>
      </w:r>
    </w:p>
    <w:p>
      <w:pPr>
        <w:numPr>
          <w:ilvl w:val="0"/>
          <w:numId w:val="1002"/>
        </w:numPr>
        <w:pStyle w:val="Compact"/>
      </w:pPr>
      <w:r>
        <w:rPr>
          <w:bCs/>
          <w:b/>
        </w:rPr>
        <w:t xml:space="preserve">Sustainability Integration:</w:t>
      </w:r>
      <w:r>
        <w:t xml:space="preserve"> </w:t>
      </w:r>
      <w:r>
        <w:t xml:space="preserve">ESG (Environmental, Social, Governance) criteria are now central to lending decisions and investment strategies. A Frankfurt-based</w:t>
      </w:r>
      <w:r>
        <w:t xml:space="preserve"> </w:t>
      </w:r>
      <w:r>
        <w:rPr>
          <w:iCs/>
          <w:i/>
        </w:rPr>
        <w:t xml:space="preserve">Banker</w:t>
      </w:r>
      <w:r>
        <w:t xml:space="preserve"> </w:t>
      </w:r>
      <w:r>
        <w:t xml:space="preserve">must champion sustainable finance frameworks like the EU Taxonomy, directly impacting client portfolios and regulatory standing.</w:t>
      </w:r>
    </w:p>
    <w:p>
      <w:pPr>
        <w:numPr>
          <w:ilvl w:val="0"/>
          <w:numId w:val="1002"/>
        </w:numPr>
        <w:pStyle w:val="Compact"/>
      </w:pPr>
      <w:r>
        <w:rPr>
          <w:bCs/>
          <w:b/>
        </w:rPr>
        <w:t xml:space="preserve">Cultural Agility:</w:t>
      </w:r>
      <w:r>
        <w:t xml:space="preserve"> </w:t>
      </w:r>
      <w:r>
        <w:t xml:space="preserve">With clients spanning 50+ countries, navigating cultural nuances in negotiation and relationship-building is critical for a</w:t>
      </w:r>
      <w:r>
        <w:t xml:space="preserve"> </w:t>
      </w:r>
      <w:r>
        <w:rPr>
          <w:iCs/>
          <w:i/>
        </w:rPr>
        <w:t xml:space="preserve">Banker</w:t>
      </w:r>
      <w:r>
        <w:t xml:space="preserve"> </w:t>
      </w:r>
      <w:r>
        <w:t xml:space="preserve">operating within Germany Frankfurt's global clientele.</w:t>
      </w:r>
    </w:p>
    <w:p>
      <w:pPr>
        <w:numPr>
          <w:ilvl w:val="0"/>
          <w:numId w:val="1002"/>
        </w:numPr>
        <w:pStyle w:val="Compact"/>
      </w:pPr>
      <w:r>
        <w:rPr>
          <w:bCs/>
          <w:b/>
        </w:rPr>
        <w:t xml:space="preserve">Regulatory Innovation:</w:t>
      </w:r>
      <w:r>
        <w:t xml:space="preserve"> </w:t>
      </w:r>
      <w:r>
        <w:t xml:space="preserve">The ability to anticipate regulatory shifts (e.g., crypto asset regulations, climate disclosure mandates) and proactively adapt services defines the strategic banker in this environment.</w:t>
      </w:r>
    </w:p>
    <w:bookmarkEnd w:id="22"/>
    <w:bookmarkStart w:id="23" w:name="Xca6c36f50cfaf0a57a48e68f0b55f885828b408"/>
    <w:p>
      <w:pPr>
        <w:pStyle w:val="Heading2"/>
      </w:pPr>
      <w:r>
        <w:t xml:space="preserve">Challenges and Strategic Imperatives for Banking in Germany Frankfurt</w:t>
      </w:r>
    </w:p>
    <w:p>
      <w:pPr>
        <w:pStyle w:val="FirstParagraph"/>
      </w:pPr>
      <w:r>
        <w:t xml:space="preserve">This analysis identifies key challenges demanding nuanced responses from the modern</w:t>
      </w:r>
      <w:r>
        <w:t xml:space="preserve"> </w:t>
      </w:r>
      <w:r>
        <w:rPr>
          <w:iCs/>
          <w:i/>
        </w:rPr>
        <w:t xml:space="preserve">Banker</w:t>
      </w:r>
      <w:r>
        <w:t xml:space="preserve">:</w:t>
      </w:r>
    </w:p>
    <w:p>
      <w:pPr>
        <w:numPr>
          <w:ilvl w:val="0"/>
          <w:numId w:val="1003"/>
        </w:numPr>
        <w:pStyle w:val="Compact"/>
      </w:pPr>
      <w:r>
        <w:rPr>
          <w:bCs/>
          <w:b/>
        </w:rPr>
        <w:t xml:space="preserve">The Digital Disruption Imperative:</w:t>
      </w:r>
      <w:r>
        <w:t xml:space="preserve"> </w:t>
      </w:r>
      <w:r>
        <w:t xml:space="preserve">Traditional banking models face pressure from FinTechs. A dissertation on banking in Germany Frankfurt must acknowledge that successful bankers are not just users but creators of digital solutions (e.g., embedded finance, blockchain applications) to maintain competitiveness.</w:t>
      </w:r>
    </w:p>
    <w:p>
      <w:pPr>
        <w:numPr>
          <w:ilvl w:val="0"/>
          <w:numId w:val="1003"/>
        </w:numPr>
        <w:pStyle w:val="Compact"/>
      </w:pPr>
      <w:r>
        <w:rPr>
          <w:bCs/>
          <w:b/>
        </w:rPr>
        <w:t xml:space="preserve">Geopolitical Volatility:</w:t>
      </w:r>
      <w:r>
        <w:t xml:space="preserve"> </w:t>
      </w:r>
      <w:r>
        <w:t xml:space="preserve">Sanctions, energy transitions, and global tensions significantly impact capital flows through Frankfurt. The banker must provide robust scenario planning and risk mitigation strategies for clients navigating this uncertainty.</w:t>
      </w:r>
    </w:p>
    <w:p>
      <w:pPr>
        <w:numPr>
          <w:ilvl w:val="0"/>
          <w:numId w:val="1003"/>
        </w:numPr>
        <w:pStyle w:val="Compact"/>
      </w:pPr>
      <w:r>
        <w:rPr>
          <w:bCs/>
          <w:b/>
        </w:rPr>
        <w:t xml:space="preserve">Talent Scarcity in Specialized Fields:</w:t>
      </w:r>
      <w:r>
        <w:t xml:space="preserve"> </w:t>
      </w:r>
      <w:r>
        <w:t xml:space="preserve">Demand for bankers with expertise in areas like sustainable finance, crypto regulation, or AI-driven trading is outpacing supply. This necessitates significant investment in continuous learning within Frankfurt's banking institutions.</w:t>
      </w:r>
    </w:p>
    <w:bookmarkEnd w:id="23"/>
    <w:bookmarkStart w:id="24" w:name="Xd48d2836a355f82d4c3ce724c4cbbf250563ea2"/>
    <w:p>
      <w:pPr>
        <w:pStyle w:val="Heading2"/>
      </w:pPr>
      <w:r>
        <w:t xml:space="preserve">Conclusion: The Enduring Significance of the Banker in Germany Frankfurt</w:t>
      </w:r>
    </w:p>
    <w:p>
      <w:pPr>
        <w:pStyle w:val="FirstParagraph"/>
      </w:pPr>
      <w:r>
        <w:t xml:space="preserve">This professional examination confirms that the role of the</w:t>
      </w:r>
      <w:r>
        <w:t xml:space="preserve"> </w:t>
      </w:r>
      <w:r>
        <w:rPr>
          <w:iCs/>
          <w:i/>
        </w:rPr>
        <w:t xml:space="preserve">Banker</w:t>
      </w:r>
      <w:r>
        <w:t xml:space="preserve"> </w:t>
      </w:r>
      <w:r>
        <w:t xml:space="preserve">within Germany Frankfurt remains more pivotal than ever. As Europe's financial nerve center, Frankfurt demands bankers who are not only transactional experts but strategic partners capable of driving innovation within a highly regulated, globally interconnected environment. The evolution towards sustainability-driven finance, digital transformation, and heightened regulatory complexity makes the banker in Germany Frankfurt an indispensable architect of European economic stability and growth.</w:t>
      </w:r>
    </w:p>
    <w:p>
      <w:pPr>
        <w:pStyle w:val="BodyText"/>
      </w:pPr>
      <w:r>
        <w:t xml:space="preserve">The insights presented herein constitute a dissertation-level perspective on how banking excellence in Germany Frankfurt is defined by adaptability, deep regulatory mastery, and an unwavering commitment to sustainable value creation. For any aspiring or incumbent financial professional, understanding this ecosystem is not merely beneficial—it is the cornerstone of career longevity and impact within the continent's most influential financial metropolis. The future of European finance hinges on mastering the complex demands placed upon the banker in Germany Frankfurt.</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Banker's Role in Germany Frankfurt: A Professional Analysis</dc:title>
  <dc:creator/>
  <dc:language>en</dc:language>
  <cp:keywords/>
  <dcterms:created xsi:type="dcterms:W3CDTF">2026-07-19T05:20:53Z</dcterms:created>
  <dcterms:modified xsi:type="dcterms:W3CDTF">2026-07-19T05:20:53Z</dcterms:modified>
</cp:coreProperties>
</file>

<file path=docProps/custom.xml><?xml version="1.0" encoding="utf-8"?>
<Properties xmlns="http://schemas.openxmlformats.org/officeDocument/2006/custom-properties" xmlns:vt="http://schemas.openxmlformats.org/officeDocument/2006/docPropsVTypes"/>
</file>