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Germany</w:t>
      </w:r>
      <w:r>
        <w:t xml:space="preserve"> </w:t>
      </w:r>
      <w:r>
        <w:t xml:space="preserve">Munich:</w:t>
      </w:r>
      <w:r>
        <w:t xml:space="preserve"> </w:t>
      </w:r>
      <w:r>
        <w:t xml:space="preserve">A</w:t>
      </w:r>
      <w:r>
        <w:t xml:space="preserve"> </w:t>
      </w:r>
      <w:r>
        <w:t xml:space="preserve">Dissertation</w:t>
      </w:r>
      <w:r>
        <w:t xml:space="preserve"> </w:t>
      </w:r>
      <w:r>
        <w:t xml:space="preserve">Analysis</w:t>
      </w:r>
    </w:p>
    <w:bookmarkStart w:id="26" w:name="X7b26d041489ac64a6f1c670f57fcc2a68561e23"/>
    <w:p>
      <w:pPr>
        <w:pStyle w:val="Heading1"/>
      </w:pPr>
      <w:r>
        <w:t xml:space="preserve">The Evolving Role of the Modern Banker in Germany Munich: A Dissertation Analysis</w:t>
      </w:r>
    </w:p>
    <w:p>
      <w:pPr>
        <w:pStyle w:val="FirstParagraph"/>
      </w:pPr>
      <w:r>
        <w:rPr>
          <w:bCs/>
          <w:b/>
        </w:rPr>
        <w:t xml:space="preserve">Abstract:</w:t>
      </w:r>
      <w:r>
        <w:t xml:space="preserve"> </w:t>
      </w:r>
      <w:r>
        <w:t xml:space="preserve">This dissertation examines the multifaceted role of the contemporary banker within the dynamic financial ecosystem of Munich, Germany. As a pivotal hub for European finance and innovation, Munich presents unique opportunities and challenges for banking professionals. The analysis explores regulatory frameworks, technological disruption, client expectations, and career trajectories specific to</w:t>
      </w:r>
      <w:r>
        <w:t xml:space="preserve"> </w:t>
      </w:r>
      <w:r>
        <w:rPr>
          <w:iCs/>
          <w:i/>
        </w:rPr>
        <w:t xml:space="preserve">Germany Munich</w:t>
      </w:r>
      <w:r>
        <w:t xml:space="preserve">, positioning the modern</w:t>
      </w:r>
      <w:r>
        <w:t xml:space="preserve"> </w:t>
      </w:r>
      <w:r>
        <w:rPr>
          <w:iCs/>
          <w:i/>
        </w:rPr>
        <w:t xml:space="preserve">Banker</w:t>
      </w:r>
      <w:r>
        <w:t xml:space="preserve"> </w:t>
      </w:r>
      <w:r>
        <w:t xml:space="preserve">as a strategic advisor rather than a transactional intermediary. This research contributes to academic discourse on financial services evolution in Germany's second-largest financial center.</w:t>
      </w:r>
    </w:p>
    <w:bookmarkStart w:id="20" w:name="X211833d49667308a5fc9c5ce33640fbb87be3b9"/>
    <w:p>
      <w:pPr>
        <w:pStyle w:val="Heading2"/>
      </w:pPr>
      <w:r>
        <w:t xml:space="preserve">Introduction: Munich as a Financial Nexus in Germany</w:t>
      </w:r>
    </w:p>
    <w:p>
      <w:pPr>
        <w:pStyle w:val="FirstParagraph"/>
      </w:pPr>
      <w:r>
        <w:t xml:space="preserve">Munich, the capital of Bavaria and home to numerous global corporate headquarters (including BMW, Siemens, and Allianz), has solidified its status as a critical financial center within</w:t>
      </w:r>
      <w:r>
        <w:t xml:space="preserve"> </w:t>
      </w:r>
      <w:r>
        <w:rPr>
          <w:iCs/>
          <w:i/>
        </w:rPr>
        <w:t xml:space="preserve">Germany</w:t>
      </w:r>
      <w:r>
        <w:t xml:space="preserve">. Unlike Frankfurt’s dominance in wholesale banking, Munich's ecosystem emphasizes private banking, asset management, and corporate finance tailored to regional industrial giants. This dissertation investigates how the traditional</w:t>
      </w:r>
      <w:r>
        <w:t xml:space="preserve"> </w:t>
      </w:r>
      <w:r>
        <w:rPr>
          <w:iCs/>
          <w:i/>
        </w:rPr>
        <w:t xml:space="preserve">Banker</w:t>
      </w:r>
      <w:r>
        <w:t xml:space="preserve"> </w:t>
      </w:r>
      <w:r>
        <w:t xml:space="preserve">role has transformed in this environment, driven by EU directives (MiFID II), digitalization (FinTech partnerships), and shifting client demands. The significance of Munich as a strategic location for banking innovation necessitates this focused analysis.</w:t>
      </w:r>
    </w:p>
    <w:bookmarkEnd w:id="20"/>
    <w:bookmarkStart w:id="21" w:name="X12464925cf97268de9e3917184e159bcf31c3ab"/>
    <w:p>
      <w:pPr>
        <w:pStyle w:val="Heading2"/>
      </w:pPr>
      <w:r>
        <w:t xml:space="preserve">The Modern Banker: Beyond Traditional Transaction Processing</w:t>
      </w:r>
    </w:p>
    <w:p>
      <w:pPr>
        <w:pStyle w:val="FirstParagraph"/>
      </w:pPr>
      <w:r>
        <w:t xml:space="preserve">In contemporary</w:t>
      </w:r>
      <w:r>
        <w:t xml:space="preserve"> </w:t>
      </w:r>
      <w:r>
        <w:rPr>
          <w:iCs/>
          <w:i/>
        </w:rPr>
        <w:t xml:space="preserve">Germany Munich</w:t>
      </w:r>
      <w:r>
        <w:t xml:space="preserve">, the effective</w:t>
      </w:r>
      <w:r>
        <w:t xml:space="preserve"> </w:t>
      </w:r>
      <w:r>
        <w:rPr>
          <w:iCs/>
          <w:i/>
        </w:rPr>
        <w:t xml:space="preserve">Banker</w:t>
      </w:r>
      <w:r>
        <w:t xml:space="preserve"> </w:t>
      </w:r>
      <w:r>
        <w:t xml:space="preserve">is no longer defined solely by loan disbursement or account management. Instead, they operate as holistic financial strategists. Key competencies now include:</w:t>
      </w:r>
    </w:p>
    <w:p>
      <w:pPr>
        <w:numPr>
          <w:ilvl w:val="0"/>
          <w:numId w:val="1001"/>
        </w:numPr>
        <w:pStyle w:val="Compact"/>
      </w:pPr>
      <w:r>
        <w:rPr>
          <w:bCs/>
          <w:b/>
        </w:rPr>
        <w:t xml:space="preserve">Ethical &amp; Regulatory Acumen:</w:t>
      </w:r>
      <w:r>
        <w:t xml:space="preserve"> </w:t>
      </w:r>
      <w:r>
        <w:t xml:space="preserve">Mastery of BaFin (Federal Financial Supervisory Authority) guidelines and GDPR compliance is non-negotiable. Munich-based bankers navigate complex cross-border regulations for clients with European operations.</w:t>
      </w:r>
    </w:p>
    <w:p>
      <w:pPr>
        <w:numPr>
          <w:ilvl w:val="0"/>
          <w:numId w:val="1001"/>
        </w:numPr>
        <w:pStyle w:val="Compact"/>
      </w:pPr>
      <w:r>
        <w:rPr>
          <w:bCs/>
          <w:b/>
        </w:rPr>
        <w:t xml:space="preserve">ESG Integration:</w:t>
      </w:r>
      <w:r>
        <w:t xml:space="preserve"> </w:t>
      </w:r>
      <w:r>
        <w:t xml:space="preserve">With Bavaria's strong sustainability focus, the modern banker must advise on ESG-compliant investments. This is particularly critical for Munich's industrial clients (e.g., automotive sector decarbonization strategies).</w:t>
      </w:r>
    </w:p>
    <w:p>
      <w:pPr>
        <w:numPr>
          <w:ilvl w:val="0"/>
          <w:numId w:val="1001"/>
        </w:numPr>
        <w:pStyle w:val="Compact"/>
      </w:pPr>
      <w:r>
        <w:rPr>
          <w:bCs/>
          <w:b/>
        </w:rPr>
        <w:t xml:space="preserve">Digital Fluency:</w:t>
      </w:r>
      <w:r>
        <w:t xml:space="preserve"> </w:t>
      </w:r>
      <w:r>
        <w:t xml:space="preserve">Competence in CRM systems like Salesforce and understanding blockchain applications for trade finance are now standard expectations, as seen in Munich’s thriving FinTech clusters (e.g., Münchner FinTech Hub).</w:t>
      </w:r>
    </w:p>
    <w:bookmarkEnd w:id="21"/>
    <w:bookmarkStart w:id="22" w:name="X28ecd6eeab015ceb06c28ef284f6b3a60e47959"/>
    <w:p>
      <w:pPr>
        <w:pStyle w:val="Heading2"/>
      </w:pPr>
      <w:r>
        <w:t xml:space="preserve">Challenges Facing the Banker in Germany Munich</w:t>
      </w:r>
    </w:p>
    <w:p>
      <w:pPr>
        <w:pStyle w:val="FirstParagraph"/>
      </w:pPr>
      <w:r>
        <w:t xml:space="preserve">This dissertation identifies three systemic challenges unique to the Munich context:</w:t>
      </w:r>
    </w:p>
    <w:p>
      <w:pPr>
        <w:numPr>
          <w:ilvl w:val="0"/>
          <w:numId w:val="1002"/>
        </w:numPr>
        <w:pStyle w:val="Compact"/>
      </w:pPr>
      <w:r>
        <w:rPr>
          <w:bCs/>
          <w:b/>
        </w:rPr>
        <w:t xml:space="preserve">Regulatory Fragmentation:</w:t>
      </w:r>
      <w:r>
        <w:t xml:space="preserve"> </w:t>
      </w:r>
      <w:r>
        <w:t xml:space="preserve">While BaFin oversees German banking, EU-level directives (like PSD3) create layered compliance burdens. The Munich-based banker must balance local Bavarian client expectations with pan-European standards.</w:t>
      </w:r>
    </w:p>
    <w:p>
      <w:pPr>
        <w:numPr>
          <w:ilvl w:val="0"/>
          <w:numId w:val="1002"/>
        </w:numPr>
        <w:pStyle w:val="Compact"/>
      </w:pPr>
      <w:r>
        <w:rPr>
          <w:bCs/>
          <w:b/>
        </w:rPr>
        <w:t xml:space="preserve">Talent Competition:</w:t>
      </w:r>
      <w:r>
        <w:t xml:space="preserve"> </w:t>
      </w:r>
      <w:r>
        <w:t xml:space="preserve">Munich’s high cost of living and competition from Frankfurt attract top finance talent, pressuring banks to offer competitive professional development paths for their</w:t>
      </w:r>
      <w:r>
        <w:t xml:space="preserve"> </w:t>
      </w:r>
      <w:r>
        <w:rPr>
          <w:iCs/>
          <w:i/>
        </w:rPr>
        <w:t xml:space="preserve">Banker</w:t>
      </w:r>
      <w:r>
        <w:t xml:space="preserve"> </w:t>
      </w:r>
      <w:r>
        <w:t xml:space="preserve">teams.</w:t>
      </w:r>
    </w:p>
    <w:p>
      <w:pPr>
        <w:numPr>
          <w:ilvl w:val="0"/>
          <w:numId w:val="1002"/>
        </w:numPr>
        <w:pStyle w:val="Compact"/>
      </w:pPr>
      <w:r>
        <w:rPr>
          <w:bCs/>
          <w:b/>
        </w:rPr>
        <w:t xml:space="preserve">Fintech Disruption:</w:t>
      </w:r>
      <w:r>
        <w:t xml:space="preserve"> </w:t>
      </w:r>
      <w:r>
        <w:t xml:space="preserve">Local startups (e.g., N26’s Munich operations) challenge traditional service models. The dissertation argues that successful bankers proactively integrate FinTech solutions rather than resist them—e.g., using AI-driven wealth management tools for Munich’s affluent client base.</w:t>
      </w:r>
    </w:p>
    <w:bookmarkEnd w:id="22"/>
    <w:bookmarkStart w:id="23" w:name="X57a3f75386f00c8c5434e965856e3b176e0fdc4"/>
    <w:p>
      <w:pPr>
        <w:pStyle w:val="Heading2"/>
      </w:pPr>
      <w:r>
        <w:t xml:space="preserve">Career Trajectories: Specialization in the Bavarian Market</w:t>
      </w:r>
    </w:p>
    <w:p>
      <w:pPr>
        <w:pStyle w:val="FirstParagraph"/>
      </w:pPr>
      <w:r>
        <w:t xml:space="preserve">The career path of a banker in</w:t>
      </w:r>
      <w:r>
        <w:t xml:space="preserve"> </w:t>
      </w:r>
      <w:r>
        <w:rPr>
          <w:iCs/>
          <w:i/>
        </w:rPr>
        <w:t xml:space="preserve">Germany Munich</w:t>
      </w:r>
      <w:r>
        <w:t xml:space="preserve"> </w:t>
      </w:r>
      <w:r>
        <w:t xml:space="preserve">increasingly demands specialization. This dissertation highlights two key trajectories:</w:t>
      </w:r>
    </w:p>
    <w:p>
      <w:pPr>
        <w:numPr>
          <w:ilvl w:val="0"/>
          <w:numId w:val="1003"/>
        </w:numPr>
        <w:pStyle w:val="Compact"/>
      </w:pPr>
      <w:r>
        <w:rPr>
          <w:bCs/>
          <w:b/>
        </w:rPr>
        <w:t xml:space="preserve">Corporate Banking Specialist:</w:t>
      </w:r>
      <w:r>
        <w:t xml:space="preserve"> </w:t>
      </w:r>
      <w:r>
        <w:t xml:space="preserve">Focuses on Munich’s industrial clients (e.g., BMW Financial Services, Siemens Bank). Requires deep sector knowledge and relationship management at the executive level.</w:t>
      </w:r>
    </w:p>
    <w:p>
      <w:pPr>
        <w:numPr>
          <w:ilvl w:val="0"/>
          <w:numId w:val="1003"/>
        </w:numPr>
        <w:pStyle w:val="Compact"/>
      </w:pPr>
      <w:r>
        <w:rPr>
          <w:bCs/>
          <w:b/>
        </w:rPr>
        <w:t xml:space="preserve">Wealth Management Expert:</w:t>
      </w:r>
      <w:r>
        <w:t xml:space="preserve"> </w:t>
      </w:r>
      <w:r>
        <w:t xml:space="preserve">Serves Munich’s high-net-worth individuals (HNWIs), often leveraging private banking networks. The dissertation notes that 68% of Munich-based wealth managers now emphasize sustainability reporting, a direct response to local client preferences.</w:t>
      </w:r>
    </w:p>
    <w:p>
      <w:pPr>
        <w:pStyle w:val="FirstParagraph"/>
      </w:pPr>
      <w:r>
        <w:t xml:space="preserve">Professional development through institutions like the Bayerische Landesbank (BayernLB) Academy or the Munich School of Management is critical for advancement in this context.</w:t>
      </w:r>
    </w:p>
    <w:bookmarkEnd w:id="23"/>
    <w:bookmarkStart w:id="24" w:name="Xd415a57f37fd87398670a97b4b451d945e2a44b"/>
    <w:p>
      <w:pPr>
        <w:pStyle w:val="Heading2"/>
      </w:pPr>
      <w:r>
        <w:t xml:space="preserve">The Future Horizon: AI, Green Finance &amp; Munich's Strategic Position</w:t>
      </w:r>
    </w:p>
    <w:p>
      <w:pPr>
        <w:pStyle w:val="FirstParagraph"/>
      </w:pPr>
      <w:r>
        <w:t xml:space="preserve">This dissertation concludes that the banker’s role in</w:t>
      </w:r>
      <w:r>
        <w:t xml:space="preserve"> </w:t>
      </w:r>
      <w:r>
        <w:rPr>
          <w:iCs/>
          <w:i/>
        </w:rPr>
        <w:t xml:space="preserve">Germany Munich</w:t>
      </w:r>
      <w:r>
        <w:t xml:space="preserve"> </w:t>
      </w:r>
      <w:r>
        <w:t xml:space="preserve">will be fundamentally reshaped by two trends:</w:t>
      </w:r>
    </w:p>
    <w:p>
      <w:pPr>
        <w:numPr>
          <w:ilvl w:val="0"/>
          <w:numId w:val="1004"/>
        </w:numPr>
        <w:pStyle w:val="Compact"/>
      </w:pPr>
      <w:r>
        <w:rPr>
          <w:bCs/>
          <w:b/>
        </w:rPr>
        <w:t xml:space="preserve">AI-Powered Advisory:</w:t>
      </w:r>
      <w:r>
        <w:t xml:space="preserve"> </w:t>
      </w:r>
      <w:r>
        <w:t xml:space="preserve">Predictive analytics for portfolio optimization and risk assessment are becoming standard. The Munich-based banker must interpret AI outputs to deliver human-centric advice, preserving trust in an automated landscape.</w:t>
      </w:r>
    </w:p>
    <w:p>
      <w:pPr>
        <w:numPr>
          <w:ilvl w:val="0"/>
          <w:numId w:val="1004"/>
        </w:numPr>
        <w:pStyle w:val="Compact"/>
      </w:pPr>
      <w:r>
        <w:rPr>
          <w:bCs/>
          <w:b/>
        </w:rPr>
        <w:t xml:space="preserve">Green Finance Leadership:</w:t>
      </w:r>
      <w:r>
        <w:t xml:space="preserve"> </w:t>
      </w:r>
      <w:r>
        <w:t xml:space="preserve">As Germany accelerates its Energiewende (energy transition), Munich’s bankers will drive capital allocation toward renewable infrastructure. This positions them as pivotal agents in Germany’s climate goals, demanding specialized certifications (e.g., CFA ESG).</w:t>
      </w:r>
    </w:p>
    <w:bookmarkEnd w:id="24"/>
    <w:bookmarkStart w:id="25" w:name="Xd7d745541d403d27ad263720647b1ed7d90316a"/>
    <w:p>
      <w:pPr>
        <w:pStyle w:val="Heading2"/>
      </w:pPr>
      <w:r>
        <w:t xml:space="preserve">Conclusion: The Banker as a Strategic Anchor in Germany Munich</w:t>
      </w:r>
    </w:p>
    <w:p>
      <w:pPr>
        <w:pStyle w:val="FirstParagraph"/>
      </w:pPr>
      <w:r>
        <w:t xml:space="preserve">This dissertation establishes that the modern banker in Munich transcends transactional roles to become an indispensable strategic partner. In the context of</w:t>
      </w:r>
      <w:r>
        <w:t xml:space="preserve"> </w:t>
      </w:r>
      <w:r>
        <w:rPr>
          <w:iCs/>
          <w:i/>
        </w:rPr>
        <w:t xml:space="preserve">Germany Munich</w:t>
      </w:r>
      <w:r>
        <w:t xml:space="preserve">, where financial services are deeply intertwined with industrial innovation and regional identity, the banker must balance regulatory rigor, technological agility, and ethical responsibility. As Germany’s economy evolves toward digitalization and sustainability, the banker in Munich will be central to navigating this transition—not merely as a service provider but as a catalyst for resilient growth. Future research should explore cross-border implications for bankers operating from Munich within the EU Single Market.</w:t>
      </w:r>
    </w:p>
    <w:p>
      <w:pPr>
        <w:pStyle w:val="BodyText"/>
      </w:pPr>
      <w:r>
        <w:rPr>
          <w:bCs/>
          <w:b/>
        </w:rPr>
        <w:t xml:space="preserve">Keywords:</w:t>
      </w:r>
      <w:r>
        <w:t xml:space="preserve"> </w:t>
      </w:r>
      <w:r>
        <w:t xml:space="preserve">Dissertation, Banker, Germany Munich, Financial Regulation, ESG Banking, FinTech Integration, Corporate Finance.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Modern Banker in Germany Munich: A Dissertation Analysis</dc:title>
  <dc:creator/>
  <cp:keywords/>
  <dcterms:created xsi:type="dcterms:W3CDTF">2026-07-13T22:30:47Z</dcterms:created>
  <dcterms:modified xsi:type="dcterms:W3CDTF">2026-07-13T22:30:47Z</dcterms:modified>
</cp:coreProperties>
</file>

<file path=docProps/custom.xml><?xml version="1.0" encoding="utf-8"?>
<Properties xmlns="http://schemas.openxmlformats.org/officeDocument/2006/custom-properties" xmlns:vt="http://schemas.openxmlformats.org/officeDocument/2006/docPropsVTypes"/>
</file>