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Modern</w:t>
      </w:r>
      <w:r>
        <w:t xml:space="preserve"> </w:t>
      </w:r>
      <w:r>
        <w:t xml:space="preserve">Banking</w:t>
      </w:r>
      <w:r>
        <w:t xml:space="preserve"> </w:t>
      </w:r>
      <w:r>
        <w:t xml:space="preserve">Excellence: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Iran</w:t>
      </w:r>
      <w:r>
        <w:t xml:space="preserve"> </w:t>
      </w:r>
      <w:r>
        <w:t xml:space="preserve">Tehran</w:t>
      </w:r>
    </w:p>
    <w:bookmarkStart w:id="26" w:name="Xf32283216acbe234c8ca752d05165fe44e493fb"/>
    <w:p>
      <w:pPr>
        <w:pStyle w:val="Heading1"/>
      </w:pPr>
      <w:r>
        <w:t xml:space="preserve">Dissertation: The Critical Role of the Contemporary Banker in Iran's Financial Ecosystem, with Focus on Tehran</w:t>
      </w:r>
    </w:p>
    <w:p>
      <w:pPr>
        <w:pStyle w:val="FirstParagraph"/>
      </w:pPr>
      <w:r>
        <w:rPr>
          <w:bCs/>
          <w:b/>
        </w:rPr>
        <w:t xml:space="preserve">Abstract:</w:t>
      </w:r>
      <w:r>
        <w:t xml:space="preserve"> </w:t>
      </w:r>
      <w:r>
        <w:t xml:space="preserve">This dissertation examines the indispensable role of the modern banker within Iran's dynamic financial landscape, with specific focus on Tehran as the nation's primary economic and financial hub. Amidst complex regulatory environments, evolving digital demands, and international sanctions, this study analyzes how effective banking professionals navigate challenges to foster sustainable growth for individuals and businesses in Iran Tehran. The research underscores that success for a Banker today transcends traditional transactional duties, demanding strategic acumen, deep market understanding of Iran Tehran's unique economy, and robust ethical frameworks.</w:t>
      </w:r>
    </w:p>
    <w:bookmarkStart w:id="20" w:name="Xb102f8634e7c7ee8903d06b81374266a6774292"/>
    <w:p>
      <w:pPr>
        <w:pStyle w:val="Heading2"/>
      </w:pPr>
      <w:r>
        <w:t xml:space="preserve">Introduction: The Significance of the Banker in Contemporary Iran</w:t>
      </w:r>
    </w:p>
    <w:p>
      <w:pPr>
        <w:pStyle w:val="FirstParagraph"/>
      </w:pPr>
      <w:r>
        <w:t xml:space="preserve">The banking sector stands as the bedrock of Iran's economic infrastructure. Within this context, the professional role of the Banker has undergone profound transformation. In Iran Tehran, where over 60% of national banking activities are concentrated, the Banker is no longer merely a counter officer but a vital strategic advisor and economic navigator. This dissertation argues that for Iran Tehran to achieve its financial stability and growth objectives under current geopolitical realities, the capabilities, integrity, and adaptability of the Banker are paramount. The evolving definition of "Banker" in this critical setting necessitates an academic exploration beyond conventional finance texts.</w:t>
      </w:r>
    </w:p>
    <w:bookmarkEnd w:id="20"/>
    <w:bookmarkStart w:id="21" w:name="X2669218e0a1d968ec0b79e54a05a51c34a0ad1a"/>
    <w:p>
      <w:pPr>
        <w:pStyle w:val="Heading2"/>
      </w:pPr>
      <w:r>
        <w:t xml:space="preserve">Iran Tehran: The Epicenter of Banking Innovation and Challenge</w:t>
      </w:r>
    </w:p>
    <w:p>
      <w:pPr>
        <w:pStyle w:val="FirstParagraph"/>
      </w:pPr>
      <w:r>
        <w:t xml:space="preserve">Tehran's status as Iran's political, commercial, and financial capital places unique demands on the banking sector. It houses the Central Bank of Iran headquarters, major state-owned banks (like Bank Melli Iran), leading private institutions (such as Mellat Bank), and burgeoning fintech startups. This concentration creates both unparalleled opportunities for innovation and intense pressure to adapt. A contemporary Banker operating in Iran Tehran must master a complex tapestry: understanding national economic policies (e.g., the Targeted Subsidy Plan), navigating intricate domestic regulations, interpreting international sanction impacts on correspondent banking, and addressing the specific needs of Tehran's diverse population – from small family enterprises in Valiasr Street to multinational corporations headquartered in Farmanieh. The term "Iran Tehran" thus signifies not just a location, but a high-stakes environment where the Banker's decisions have significant national economic resonance.</w:t>
      </w:r>
    </w:p>
    <w:bookmarkEnd w:id="21"/>
    <w:bookmarkStart w:id="22" w:name="X75e19017a784294f078841fbd53506de428df5f"/>
    <w:p>
      <w:pPr>
        <w:pStyle w:val="Heading2"/>
      </w:pPr>
      <w:r>
        <w:t xml:space="preserve">Key Responsibilities: Beyond Transactions - The Strategic Banker</w:t>
      </w:r>
    </w:p>
    <w:p>
      <w:pPr>
        <w:pStyle w:val="FirstParagraph"/>
      </w:pPr>
      <w:r>
        <w:t xml:space="preserve">The modern banker in Iran Tehran operates within a multi-faceted framework. Core responsibilities now include:</w:t>
      </w:r>
    </w:p>
    <w:p>
      <w:pPr>
        <w:numPr>
          <w:ilvl w:val="0"/>
          <w:numId w:val="1001"/>
        </w:numPr>
        <w:pStyle w:val="Compact"/>
      </w:pPr>
      <w:r>
        <w:rPr>
          <w:bCs/>
          <w:b/>
        </w:rPr>
        <w:t xml:space="preserve">Financial Advisory &amp; Risk Mitigation:</w:t>
      </w:r>
      <w:r>
        <w:t xml:space="preserve"> </w:t>
      </w:r>
      <w:r>
        <w:t xml:space="preserve">Providing tailored solutions for businesses facing foreign exchange constraints and import limitations, requiring deep knowledge of Iran's specific trade finance mechanisms.</w:t>
      </w:r>
    </w:p>
    <w:p>
      <w:pPr>
        <w:numPr>
          <w:ilvl w:val="0"/>
          <w:numId w:val="1001"/>
        </w:numPr>
        <w:pStyle w:val="Compact"/>
      </w:pPr>
      <w:r>
        <w:rPr>
          <w:bCs/>
          <w:b/>
        </w:rPr>
        <w:t xml:space="preserve">Digital Transformation Leadership:</w:t>
      </w:r>
      <w:r>
        <w:t xml:space="preserve"> </w:t>
      </w:r>
      <w:r>
        <w:t xml:space="preserve">Spearheading adoption of local digital payment systems (like "Saman" and "Shaparak"), mobile banking apps, and blockchain pilots to overcome international payment hurdles – a critical focus for any Banker in Tehran's tech-savvy market.</w:t>
      </w:r>
    </w:p>
    <w:p>
      <w:pPr>
        <w:numPr>
          <w:ilvl w:val="0"/>
          <w:numId w:val="1001"/>
        </w:numPr>
        <w:pStyle w:val="Compact"/>
      </w:pPr>
      <w:r>
        <w:rPr>
          <w:bCs/>
          <w:b/>
        </w:rPr>
        <w:t xml:space="preserve">Compliance &amp; Ethical Stewardship:</w:t>
      </w:r>
      <w:r>
        <w:t xml:space="preserve"> </w:t>
      </w:r>
      <w:r>
        <w:t xml:space="preserve">Navigating complex domestic laws (e.g., the Anti-Money Laundering Law) and interpreting sanction-related restrictions without compromising customer service, demanding exceptional ethical judgment.</w:t>
      </w:r>
    </w:p>
    <w:p>
      <w:pPr>
        <w:numPr>
          <w:ilvl w:val="0"/>
          <w:numId w:val="1001"/>
        </w:numPr>
        <w:pStyle w:val="Compact"/>
      </w:pPr>
      <w:r>
        <w:rPr>
          <w:bCs/>
          <w:b/>
        </w:rPr>
        <w:t xml:space="preserve">Community Engagement &amp; Financial Inclusion:</w:t>
      </w:r>
      <w:r>
        <w:t xml:space="preserve"> </w:t>
      </w:r>
      <w:r>
        <w:t xml:space="preserve">Designing accessible products for Tehran's underserved populations, such as micro-loan programs for informal sector vendors in bazaars like Grand Bazaar, directly contributing to Iran's broader economic inclusion goals.</w:t>
      </w:r>
    </w:p>
    <w:bookmarkEnd w:id="22"/>
    <w:bookmarkStart w:id="23" w:name="X66546ef49dc55eafae5c9b1867b73a2c791beb6"/>
    <w:p>
      <w:pPr>
        <w:pStyle w:val="Heading2"/>
      </w:pPr>
      <w:r>
        <w:t xml:space="preserve">Challenges Facing the Banker in Iran Tehran</w:t>
      </w:r>
    </w:p>
    <w:p>
      <w:pPr>
        <w:pStyle w:val="FirstParagraph"/>
      </w:pPr>
      <w:r>
        <w:t xml:space="preserve">The path for a Banker in Iran Tehran is fraught with specific challenges demanding sophisticated solutions:</w:t>
      </w:r>
    </w:p>
    <w:p>
      <w:pPr>
        <w:numPr>
          <w:ilvl w:val="0"/>
          <w:numId w:val="1002"/>
        </w:numPr>
        <w:pStyle w:val="Compact"/>
      </w:pPr>
      <w:r>
        <w:rPr>
          <w:bCs/>
          <w:b/>
        </w:rPr>
        <w:t xml:space="preserve">Sanctions Impact:</w:t>
      </w:r>
      <w:r>
        <w:t xml:space="preserve"> </w:t>
      </w:r>
      <w:r>
        <w:t xml:space="preserve">Persistent international sanctions restrict access to SWIFT, global correspondent networks, and foreign capital markets. The effective Banker must innovate within these constraints – utilizing alternative settlement mechanisms (like local currency trade agreements) and fostering regional partnerships (e.g., with China or Russia) to maintain liquidity flow for Tehran's businesses.</w:t>
      </w:r>
    </w:p>
    <w:p>
      <w:pPr>
        <w:numPr>
          <w:ilvl w:val="0"/>
          <w:numId w:val="1002"/>
        </w:numPr>
        <w:pStyle w:val="Compact"/>
      </w:pPr>
      <w:r>
        <w:rPr>
          <w:bCs/>
          <w:b/>
        </w:rPr>
        <w:t xml:space="preserve">Regulatory Fluidity:</w:t>
      </w:r>
      <w:r>
        <w:t xml:space="preserve"> </w:t>
      </w:r>
      <w:r>
        <w:t xml:space="preserve">Iran's financial regulatory landscape is rapidly evolving. A proactive Banker must continuously monitor Central Bank directives, understanding how new rules on interest rates, capital adequacy, or digital assets directly impact operations within Iran Tehran branches.</w:t>
      </w:r>
    </w:p>
    <w:p>
      <w:pPr>
        <w:numPr>
          <w:ilvl w:val="0"/>
          <w:numId w:val="1002"/>
        </w:numPr>
        <w:pStyle w:val="Compact"/>
      </w:pPr>
      <w:r>
        <w:rPr>
          <w:bCs/>
          <w:b/>
        </w:rPr>
        <w:t xml:space="preserve">Digital Divide &amp; Trust Building:</w:t>
      </w:r>
      <w:r>
        <w:t xml:space="preserve"> </w:t>
      </w:r>
      <w:r>
        <w:t xml:space="preserve">While Tehran leads in tech adoption, bridging the digital literacy gap for older clients remains crucial. The Banker must act as both a technologist and a trusted educator, building confidence in new financial tools essential for Iran's economic modernization.</w:t>
      </w:r>
    </w:p>
    <w:bookmarkEnd w:id="23"/>
    <w:bookmarkStart w:id="24" w:name="X97a5b6b5b99f35670486912323d49c760b93be2"/>
    <w:p>
      <w:pPr>
        <w:pStyle w:val="Heading2"/>
      </w:pPr>
      <w:r>
        <w:t xml:space="preserve">CASE STUDY: Digital Banking Advancement at a Tehran Branch</w:t>
      </w:r>
    </w:p>
    <w:p>
      <w:pPr>
        <w:pStyle w:val="FirstParagraph"/>
      </w:pPr>
      <w:r>
        <w:t xml:space="preserve">A recent case study at a major commercial bank branch in Tehran illustrates the Banker's strategic evolution. Facing low mobile app adoption among SME clients, the local Banker spearheaded a "Digital Literacy Drive," collaborating with neighborhood business associations. The initiative included tailored training sessions on using the bank's new platform for import payments (bypassing traditional SWIFT limitations), resulting in a 45% increase in digital transaction volume within six months. This success wasn't just technological; it was driven by the Banker's understanding of Tehran's SME ecosystem, relationship building, and commitment to solving real local problems – demonstrating how a modern Banker directly fuels Iran Tehran's financial resilience.</w:t>
      </w:r>
    </w:p>
    <w:bookmarkEnd w:id="24"/>
    <w:bookmarkStart w:id="25" w:name="X263532223e72c89c4f10dbbaa0b9b4bdd442ecb"/>
    <w:p>
      <w:pPr>
        <w:pStyle w:val="Heading2"/>
      </w:pPr>
      <w:r>
        <w:t xml:space="preserve">Conclusion: The Future-Proofed Banker as an Asset for Iran</w:t>
      </w:r>
    </w:p>
    <w:p>
      <w:pPr>
        <w:pStyle w:val="FirstParagraph"/>
      </w:pPr>
      <w:r>
        <w:t xml:space="preserve">This dissertation conclusively demonstrates that the role of the Banker in Iran Tehran is pivotal to national economic progress. Success hinges on moving far beyond transactional processing to embrace strategic advisory, technological innovation, and ethical leadership within Iran's unique environment. The future of banking in Iran Tehran depends not on technology alone, but on cultivating a cadre of highly skilled, adaptable professionals – the true modern Banker. For institutions aiming for sustainability in Iran Tehran, investing in continuous professional development focused on market intelligence (specifically concerning Iranian economic trends), digital fluency, and cross-cultural communication is non-negotiable. The Banker of tomorrow in Iran Tehran isn't just an employee; they are a critical economic catalyst. This research provides the framework to elevate their role from necessity to strategic advantage, ensuring Iran Tehran remains a dynamic engine for growth despite global complexities.</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Banking Excellence: The Evolving Role of the Banker in Iran Tehran</dc:title>
  <dc:creator/>
  <dc:language>en</dc:language>
  <cp:keywords/>
  <dcterms:created xsi:type="dcterms:W3CDTF">2026-07-14T02:40:56Z</dcterms:created>
  <dcterms:modified xsi:type="dcterms:W3CDTF">2026-07-14T02:40:56Z</dcterms:modified>
</cp:coreProperties>
</file>

<file path=docProps/custom.xml><?xml version="1.0" encoding="utf-8"?>
<Properties xmlns="http://schemas.openxmlformats.org/officeDocument/2006/custom-properties" xmlns:vt="http://schemas.openxmlformats.org/officeDocument/2006/docPropsVTypes"/>
</file>