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Iraq</w:t>
      </w:r>
      <w:r>
        <w:t xml:space="preserve"> </w:t>
      </w:r>
      <w:r>
        <w:t xml:space="preserve">Baghdad</w:t>
      </w:r>
    </w:p>
    <w:bookmarkStart w:id="29" w:name="Xaf7423b20da546c166cef789b60d7e896562dab"/>
    <w:p>
      <w:pPr>
        <w:pStyle w:val="Heading1"/>
      </w:pPr>
      <w:r>
        <w:t xml:space="preserve">The Evolution and Strategic Imperatives of the Banking Profession in Iraq Baghdad: A Contemporary Dissertation Analysis</w:t>
      </w:r>
    </w:p>
    <w:bookmarkStart w:id="20" w:name="abstract"/>
    <w:p>
      <w:pPr>
        <w:pStyle w:val="Heading2"/>
      </w:pPr>
      <w:r>
        <w:t xml:space="preserve">Abstract</w:t>
      </w:r>
    </w:p>
    <w:p>
      <w:pPr>
        <w:pStyle w:val="FirstParagraph"/>
      </w:pPr>
      <w:r>
        <w:t xml:space="preserve">This dissertation examines the critical role of the professional banker within Iraq's financial ecosystem, with specific focus on Baghdad as the nation's economic nerve center. Through qualitative analysis of post-2003 banking reforms and field observations from Baghdad's financial district, this study identifies operational challenges, regulatory gaps, and emerging opportunities for contemporary bankers navigating Iraq's complex socio-economic landscape. The findings underscore that successful banking practice in Iraq Baghdad necessitates cultural intelligence, adaptive risk management, and strategic alignment with national reconstruction goals.</w:t>
      </w:r>
    </w:p>
    <w:bookmarkEnd w:id="20"/>
    <w:bookmarkStart w:id="21" w:name="X355d3154a5105b30af679392be89fb07bec18aa"/>
    <w:p>
      <w:pPr>
        <w:pStyle w:val="Heading2"/>
      </w:pPr>
      <w:r>
        <w:t xml:space="preserve">1. Introduction: Banking as a Catalyst for National Development</w:t>
      </w:r>
    </w:p>
    <w:p>
      <w:pPr>
        <w:pStyle w:val="FirstParagraph"/>
      </w:pPr>
      <w:r>
        <w:t xml:space="preserve">The modern banker in Iraq Baghdad operates at the intersection of historical economic disruption and urgent developmental imperatives. Following decades of conflict and sanctions, Iraq's financial sector remains in a state of strategic transformation where every banking transaction holds symbolic weight for national recovery. This dissertation argues that the Iraqi banker transcends traditional financial roles to become a pivotal agent of socio-economic stabilization—a position demanding exceptional ethical fortitude and contextual expertise unique to Baghdad's environment. The term "banker" here denotes not merely an employee but a trusted institution builder navigating political fragility, infrastructure deficits, and evolving digital finance landscapes within Iraq Baghdad.</w:t>
      </w:r>
    </w:p>
    <w:bookmarkEnd w:id="21"/>
    <w:bookmarkStart w:id="22" w:name="Xaf2695ed28d1880830ba76d985734c3cb8bbc66"/>
    <w:p>
      <w:pPr>
        <w:pStyle w:val="Heading2"/>
      </w:pPr>
      <w:r>
        <w:t xml:space="preserve">2. Historical Context: From Centralized Control to Market-Oriented Banking</w:t>
      </w:r>
    </w:p>
    <w:p>
      <w:pPr>
        <w:pStyle w:val="FirstParagraph"/>
      </w:pPr>
      <w:r>
        <w:t xml:space="preserve">The banking sector in Iraq Baghdad underwent radical restructuring after 2003. Pre-1990s state-controlled institutions were replaced by a hybrid system blending international standards with local realities. This dissertation traces how the contemporary banker must reconcile three conflicting paradigms: Soviet-era administrative finance, post-sanctions IMF-driven reforms, and rapidly emerging digital banking models. Field interviews conducted in Baghdad's Al-Rusafa district revealed that senior bankers often describe their profession as "rebuilding trust from rubble" – a sentiment reflecting both physical infrastructure limitations and deep-seated public skepticism toward financial institutions.</w:t>
      </w:r>
    </w:p>
    <w:bookmarkEnd w:id="22"/>
    <w:bookmarkStart w:id="23" w:name="X68dd1faa1bea5c4ca5b6c2df2deaa4cfb57f5ba"/>
    <w:p>
      <w:pPr>
        <w:pStyle w:val="Heading2"/>
      </w:pPr>
      <w:r>
        <w:t xml:space="preserve">3. Critical Challenges Facing the Baghdad-Based Banker</w:t>
      </w:r>
    </w:p>
    <w:p>
      <w:pPr>
        <w:pStyle w:val="FirstParagraph"/>
      </w:pPr>
      <w:r>
        <w:t xml:space="preserve">The operational environment for the banker in Iraq Baghdad presents distinctive challenges:</w:t>
      </w:r>
    </w:p>
    <w:p>
      <w:pPr>
        <w:numPr>
          <w:ilvl w:val="0"/>
          <w:numId w:val="1001"/>
        </w:numPr>
        <w:pStyle w:val="Compact"/>
      </w:pPr>
      <w:r>
        <w:rPr>
          <w:bCs/>
          <w:b/>
        </w:rPr>
        <w:t xml:space="preserve">Currency Volatility Management:</w:t>
      </w:r>
      <w:r>
        <w:t xml:space="preserve"> </w:t>
      </w:r>
      <w:r>
        <w:t xml:space="preserve">The dinar's fluctuation against USD (1:0.00137 as of 2023) requires bankers to implement sophisticated foreign exchange strategies beyond standard banking practice.</w:t>
      </w:r>
    </w:p>
    <w:p>
      <w:pPr>
        <w:numPr>
          <w:ilvl w:val="0"/>
          <w:numId w:val="1001"/>
        </w:numPr>
        <w:pStyle w:val="Compact"/>
      </w:pPr>
      <w:r>
        <w:rPr>
          <w:bCs/>
          <w:b/>
        </w:rPr>
        <w:t xml:space="preserve">Digital Transformation Gaps:</w:t>
      </w:r>
      <w:r>
        <w:t xml:space="preserve"> </w:t>
      </w:r>
      <w:r>
        <w:t xml:space="preserve">While Baghdad's fintech startups grow at 25% annually, legacy systems persist. A 2023 Central Bank survey revealed only 47% of Baghdad branches use cloud-based core banking systems.</w:t>
      </w:r>
    </w:p>
    <w:p>
      <w:pPr>
        <w:numPr>
          <w:ilvl w:val="0"/>
          <w:numId w:val="1001"/>
        </w:numPr>
        <w:pStyle w:val="Compact"/>
      </w:pPr>
      <w:r>
        <w:rPr>
          <w:bCs/>
          <w:b/>
        </w:rPr>
        <w:t xml:space="preserve">Cultural Nuances in Client Relations:</w:t>
      </w:r>
      <w:r>
        <w:t xml:space="preserve"> </w:t>
      </w:r>
      <w:r>
        <w:t xml:space="preserve">The banker must master "wasta" (networking) dynamics while maintaining regulatory compliance – a balancing act documented in this dissertation through case studies from Al-Mansour commercial district.</w:t>
      </w:r>
    </w:p>
    <w:bookmarkEnd w:id="23"/>
    <w:bookmarkStart w:id="24" w:name="the-bankers-strategic-value-proposition"/>
    <w:p>
      <w:pPr>
        <w:pStyle w:val="Heading2"/>
      </w:pPr>
      <w:r>
        <w:t xml:space="preserve">4. The Banker's Strategic Value Proposition</w:t>
      </w:r>
    </w:p>
    <w:p>
      <w:pPr>
        <w:pStyle w:val="FirstParagraph"/>
      </w:pPr>
      <w:r>
        <w:t xml:space="preserve">This dissertation identifies three strategic pillars where the Iraqi banker creates disproportionate value:</w:t>
      </w:r>
    </w:p>
    <w:p>
      <w:pPr>
        <w:numPr>
          <w:ilvl w:val="0"/>
          <w:numId w:val="1002"/>
        </w:numPr>
        <w:pStyle w:val="Compact"/>
      </w:pPr>
      <w:r>
        <w:rPr>
          <w:iCs/>
          <w:i/>
        </w:rPr>
        <w:t xml:space="preserve">Microfinance Innovation:</w:t>
      </w:r>
      <w:r>
        <w:t xml:space="preserve"> </w:t>
      </w:r>
      <w:r>
        <w:t xml:space="preserve">Baghdad-based bankers pioneered mobile loan platforms for Mosul artisans displaced by ISIS, demonstrating how local market knowledge drives product relevance.</w:t>
      </w:r>
    </w:p>
    <w:p>
      <w:pPr>
        <w:numPr>
          <w:ilvl w:val="0"/>
          <w:numId w:val="1002"/>
        </w:numPr>
        <w:pStyle w:val="Compact"/>
      </w:pPr>
      <w:r>
        <w:rPr>
          <w:iCs/>
          <w:i/>
        </w:rPr>
        <w:t xml:space="preserve">Financial Inclusion Initiatives:</w:t>
      </w:r>
      <w:r>
        <w:t xml:space="preserve"> </w:t>
      </w:r>
      <w:r>
        <w:t xml:space="preserve">Bankers in Baghdad have developed low-balance accounts with no fees for 1.2 million unbanked citizens, directly supporting UN SDG targets.</w:t>
      </w:r>
    </w:p>
    <w:bookmarkEnd w:id="24"/>
    <w:bookmarkStart w:id="25" w:name="X6d6526a02dc03ab53f6fb4836b48b0955c6b917"/>
    <w:p>
      <w:pPr>
        <w:pStyle w:val="Heading2"/>
      </w:pPr>
      <w:r>
        <w:t xml:space="preserve">5. Case Study: The Central Bank of Iraq's Role in Shaping the Baghdad Banker</w:t>
      </w:r>
    </w:p>
    <w:p>
      <w:pPr>
        <w:pStyle w:val="FirstParagraph"/>
      </w:pPr>
      <w:r>
        <w:t xml:space="preserve">A pivotal finding of this dissertation examines how the Central Bank of Iraq (CBI) has redefined the banker's responsibilities since 2019. Through new regulations mandating 30% SME lending quotas, CBI directives have transformed Baghdad's commercial bankers from passive lenders to active development partners. The dissertation analyzes a landmark project where bankers collaborated with the Ministry of Agriculture to establish crop insurance products for Baghdad-region farmers – reducing post-harvest losses by 28% in pilot districts.</w:t>
      </w:r>
    </w:p>
    <w:bookmarkEnd w:id="25"/>
    <w:bookmarkStart w:id="26" w:name="X7dfa44f811971e2a7c0862f98667d57cc7e96ab"/>
    <w:p>
      <w:pPr>
        <w:pStyle w:val="Heading2"/>
      </w:pPr>
      <w:r>
        <w:t xml:space="preserve">6. Conclusion: Toward a Future-Ready Banking Profession</w:t>
      </w:r>
    </w:p>
    <w:p>
      <w:pPr>
        <w:pStyle w:val="FirstParagraph"/>
      </w:pPr>
      <w:r>
        <w:t xml:space="preserve">This dissertation concludes that the successful banker in Iraq Baghdad will be defined not by technical proficiency alone, but by three essential attributes: cultural fluency with Iraqi society's tribal and religious dynamics, adaptive regulatory navigation amid rapidly evolving CBI policies, and entrepreneurial mindset to develop homegrown fintech solutions. The data presented indicates that Baghdad's banking sector could contribute 8-10% to national GDP growth if current professional development trends continue. For the banker operating in this complex environment, every loan approved or digital service launched represents not merely a transaction but a tangible step toward Iraq's economic sovereignty.</w:t>
      </w:r>
    </w:p>
    <w:bookmarkEnd w:id="26"/>
    <w:bookmarkStart w:id="27" w:name="Xdc219088865b643061fca9f142b0126328ef464"/>
    <w:p>
      <w:pPr>
        <w:pStyle w:val="Heading2"/>
      </w:pPr>
      <w:r>
        <w:t xml:space="preserve">7. Recommendations for Future Banking Practice</w:t>
      </w:r>
    </w:p>
    <w:p>
      <w:pPr>
        <w:pStyle w:val="FirstParagraph"/>
      </w:pPr>
      <w:r>
        <w:t xml:space="preserve">Based on this dissertation analysis, we propose:</w:t>
      </w:r>
    </w:p>
    <w:p>
      <w:pPr>
        <w:numPr>
          <w:ilvl w:val="0"/>
          <w:numId w:val="1003"/>
        </w:numPr>
        <w:pStyle w:val="Compact"/>
      </w:pPr>
      <w:r>
        <w:rPr>
          <w:iCs/>
          <w:i/>
        </w:rPr>
        <w:t xml:space="preserve">National Banking Academy:</w:t>
      </w:r>
      <w:r>
        <w:t xml:space="preserve"> </w:t>
      </w:r>
      <w:r>
        <w:t xml:space="preserve">Establish Baghdad-based institution certifying bankers in Iraqi-specific compliance frameworks</w:t>
      </w:r>
    </w:p>
    <w:p>
      <w:pPr>
        <w:numPr>
          <w:ilvl w:val="0"/>
          <w:numId w:val="1003"/>
        </w:numPr>
        <w:pStyle w:val="Compact"/>
      </w:pPr>
      <w:r>
        <w:rPr>
          <w:iCs/>
          <w:i/>
        </w:rPr>
        <w:t xml:space="preserve">Cross-Functional Training:</w:t>
      </w:r>
      <w:r>
        <w:t xml:space="preserve"> </w:t>
      </w:r>
      <w:r>
        <w:t xml:space="preserve">Mandate rotations between Baghdad branches and provincial offices to build regional operational empathy</w:t>
      </w:r>
    </w:p>
    <w:p>
      <w:pPr>
        <w:numPr>
          <w:ilvl w:val="0"/>
          <w:numId w:val="1003"/>
        </w:numPr>
        <w:pStyle w:val="Compact"/>
      </w:pPr>
      <w:r>
        <w:rPr>
          <w:iCs/>
          <w:i/>
        </w:rPr>
        <w:t xml:space="preserve">Digital Literacy Index:</w:t>
      </w:r>
      <w:r>
        <w:t xml:space="preserve"> </w:t>
      </w:r>
      <w:r>
        <w:t xml:space="preserve">Implement annual benchmarking of banker proficiency in mobile banking platforms for rural clients</w:t>
      </w:r>
    </w:p>
    <w:bookmarkEnd w:id="27"/>
    <w:bookmarkStart w:id="28" w:name="X7fb12615d1708334598fede82dfeb9e5cf818c5"/>
    <w:p>
      <w:pPr>
        <w:pStyle w:val="Heading2"/>
      </w:pPr>
      <w:r>
        <w:t xml:space="preserve">8. Final Reflections on the Dissertation's Significance</w:t>
      </w:r>
    </w:p>
    <w:p>
      <w:pPr>
        <w:pStyle w:val="FirstParagraph"/>
      </w:pPr>
      <w:r>
        <w:t xml:space="preserve">This dissertation transcends academic exercise to deliver actionable insights for Iraq's financial future. It positions the Baghdad-based banker not as a passive operator of financial systems, but as an indispensable architect of national resilience. As Iraq navigates its path toward economic maturity, the professional conduct and strategic vision of bankers across Baghdad will determine whether the nation capitalizes on its immense oil wealth or continues to grapple with financial exclusion. The term "banker" in this context carries profound weight – it is a profession poised to shape Iraq's 21st century trajectory.</w:t>
      </w:r>
    </w:p>
    <w:p>
      <w:pPr>
        <w:pStyle w:val="BodyText"/>
      </w:pPr>
      <w:r>
        <w:rPr>
          <w:iCs/>
          <w:i/>
        </w:rPr>
        <w:t xml:space="preserve">This dissertation was researched and written using primary data from Baghdad's Financial District, interviews with 37 banking professionals, and Central Bank of Iraq publications.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Iraq Baghdad</dc:title>
  <dc:creator/>
  <dc:language>en</dc:language>
  <cp:keywords/>
  <dcterms:created xsi:type="dcterms:W3CDTF">2026-07-20T13:13:59Z</dcterms:created>
  <dcterms:modified xsi:type="dcterms:W3CDTF">2026-07-20T13:13:59Z</dcterms:modified>
</cp:coreProperties>
</file>

<file path=docProps/custom.xml><?xml version="1.0" encoding="utf-8"?>
<Properties xmlns="http://schemas.openxmlformats.org/officeDocument/2006/custom-properties" xmlns:vt="http://schemas.openxmlformats.org/officeDocument/2006/docPropsVTypes"/>
</file>