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Banking</w:t>
      </w:r>
      <w:r>
        <w:t xml:space="preserve"> </w:t>
      </w:r>
      <w:r>
        <w:t xml:space="preserve">Excellence:</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Italy</w:t>
      </w:r>
      <w:r>
        <w:t xml:space="preserve"> </w:t>
      </w:r>
      <w:r>
        <w:t xml:space="preserve">Rome</w:t>
      </w:r>
    </w:p>
    <w:bookmarkStart w:id="28" w:name="X390716c7d1034130b0a7882b5740270ee0afd37"/>
    <w:p>
      <w:pPr>
        <w:pStyle w:val="Heading1"/>
      </w:pPr>
      <w:r>
        <w:t xml:space="preserve">Dissertation on Banking Excellence: The Role of the Banker in Italy Rome</w:t>
      </w:r>
    </w:p>
    <w:p>
      <w:pPr>
        <w:pStyle w:val="FirstParagraph"/>
      </w:pPr>
      <w:r>
        <w:rPr>
          <w:iCs/>
          <w:i/>
        </w:rPr>
        <w:t xml:space="preserve">Submitted as part of Academic Requirements for Advanced Finance Studies</w:t>
      </w:r>
    </w:p>
    <w:bookmarkStart w:id="20" w:name="X65756cb9742501b370dc8fa06cfe827447c97c9"/>
    <w:p>
      <w:pPr>
        <w:pStyle w:val="Heading2"/>
      </w:pPr>
      <w:r>
        <w:t xml:space="preserve">Introduction: The Financial Heartbeat of Ancient and Modern Rome</w:t>
      </w:r>
    </w:p>
    <w:p>
      <w:pPr>
        <w:pStyle w:val="FirstParagraph"/>
      </w:pPr>
      <w:r>
        <w:t xml:space="preserve">The role of the</w:t>
      </w:r>
      <w:r>
        <w:t xml:space="preserve"> </w:t>
      </w:r>
      <w:r>
        <w:rPr>
          <w:bCs/>
          <w:b/>
        </w:rPr>
        <w:t xml:space="preserve">Banker</w:t>
      </w:r>
      <w:r>
        <w:t xml:space="preserve"> </w:t>
      </w:r>
      <w:r>
        <w:t xml:space="preserve">in contemporary Italy represents a profound convergence of historical tradition and modern financial innovation. This dissertation examines the pivotal function of banking professionals within the unique economic landscape of Rome, Italy's capital city and a global financial hub with unparalleled historical depth. As one of Europe's oldest continuously inhabited cities, Rome embodies centuries of monetary evolution—from Roman coinage to Renaissance banking families—and today serves as the nerve center for Italy's €2.5 trillion banking sector. Understanding the</w:t>
      </w:r>
      <w:r>
        <w:t xml:space="preserve"> </w:t>
      </w:r>
      <w:r>
        <w:rPr>
          <w:bCs/>
          <w:b/>
        </w:rPr>
        <w:t xml:space="preserve">Banker</w:t>
      </w:r>
      <w:r>
        <w:t xml:space="preserve">'s responsibilities within this context is not merely an academic exercise but a critical lens for analyzing Italy's economic resilience and growth trajectory.</w:t>
      </w:r>
    </w:p>
    <w:bookmarkEnd w:id="20"/>
    <w:bookmarkStart w:id="21" w:name="Xc9259b108f43038f31eda40831369244ff6e44e"/>
    <w:p>
      <w:pPr>
        <w:pStyle w:val="Heading2"/>
      </w:pPr>
      <w:r>
        <w:t xml:space="preserve">Historical Foundations: From Banca dei Poveri to Modern Institutions</w:t>
      </w:r>
    </w:p>
    <w:p>
      <w:pPr>
        <w:pStyle w:val="FirstParagraph"/>
      </w:pPr>
      <w:r>
        <w:t xml:space="preserve">Rome's banking legacy began in the 15th century with institutions like the</w:t>
      </w:r>
      <w:r>
        <w:t xml:space="preserve"> </w:t>
      </w:r>
      <w:r>
        <w:rPr>
          <w:iCs/>
          <w:i/>
        </w:rPr>
        <w:t xml:space="preserve">Banca di Santo Spirito</w:t>
      </w:r>
      <w:r>
        <w:t xml:space="preserve">, founded in 1460 to provide credit for merchants. This tradition evolved into the modern framework where Rome hosts headquarters of major Italian banks including Intesa Sanpaolo, UniCredit, and Banco BPM. The city's unique position as both a political capital and financial center has shaped the</w:t>
      </w:r>
      <w:r>
        <w:t xml:space="preserve"> </w:t>
      </w:r>
      <w:r>
        <w:rPr>
          <w:bCs/>
          <w:b/>
        </w:rPr>
        <w:t xml:space="preserve">Banker</w:t>
      </w:r>
      <w:r>
        <w:t xml:space="preserve">'s role: requiring mastery of EU regulations while navigating Italy's distinct cultural approach to client relationships (</w:t>
      </w:r>
      <w:r>
        <w:rPr>
          <w:iCs/>
          <w:i/>
        </w:rPr>
        <w:t xml:space="preserve">rapporto</w:t>
      </w:r>
      <w:r>
        <w:t xml:space="preserve">). This historical continuity informs today's Roman bankers who balance ancient principles of trust with digital transformation—a duality central to our dissertation.</w:t>
      </w:r>
    </w:p>
    <w:bookmarkEnd w:id="21"/>
    <w:bookmarkStart w:id="22" w:name="X598bf9cac640fa3b6244036319f5ebf78689d41"/>
    <w:p>
      <w:pPr>
        <w:pStyle w:val="Heading2"/>
      </w:pPr>
      <w:r>
        <w:t xml:space="preserve">The Modern Banker in Italy Rome: Beyond Transactional Services</w:t>
      </w:r>
    </w:p>
    <w:p>
      <w:pPr>
        <w:pStyle w:val="FirstParagraph"/>
      </w:pPr>
      <w:r>
        <w:t xml:space="preserve">In contemporary Rome, the</w:t>
      </w:r>
      <w:r>
        <w:t xml:space="preserve"> </w:t>
      </w:r>
      <w:r>
        <w:rPr>
          <w:bCs/>
          <w:b/>
        </w:rPr>
        <w:t xml:space="preserve">Banker</w:t>
      </w:r>
      <w:r>
        <w:t xml:space="preserve"> </w:t>
      </w:r>
      <w:r>
        <w:t xml:space="preserve">operates at a strategic intersection of local and global finance. Key responsibilities include:</w:t>
      </w:r>
    </w:p>
    <w:p>
      <w:pPr>
        <w:numPr>
          <w:ilvl w:val="0"/>
          <w:numId w:val="1001"/>
        </w:numPr>
        <w:pStyle w:val="Compact"/>
      </w:pPr>
      <w:r>
        <w:rPr>
          <w:bCs/>
          <w:b/>
        </w:rPr>
        <w:t xml:space="preserve">Personalized Wealth Management:</w:t>
      </w:r>
      <w:r>
        <w:t xml:space="preserve"> </w:t>
      </w:r>
      <w:r>
        <w:t xml:space="preserve">Serving Rome's affluent demographic (over 1.3M residents with €50k+ annual incomes) through bespoke portfolios considering Italy's tax incentives for residential property and art investments.</w:t>
      </w:r>
    </w:p>
    <w:p>
      <w:pPr>
        <w:numPr>
          <w:ilvl w:val="0"/>
          <w:numId w:val="1001"/>
        </w:numPr>
        <w:pStyle w:val="Compact"/>
      </w:pPr>
      <w:r>
        <w:rPr>
          <w:bCs/>
          <w:b/>
        </w:rPr>
        <w:t xml:space="preserve">Municipal &amp; Corporate Advisory:</w:t>
      </w:r>
      <w:r>
        <w:t xml:space="preserve"> </w:t>
      </w:r>
      <w:r>
        <w:t xml:space="preserve">Supporting Rome's €8.2 billion municipal budget operations and multinational HQs (e.g., Eni, Leonardo) in capital raising amid EU Green Deal requirements.</w:t>
      </w:r>
    </w:p>
    <w:p>
      <w:pPr>
        <w:numPr>
          <w:ilvl w:val="0"/>
          <w:numId w:val="1001"/>
        </w:numPr>
        <w:pStyle w:val="Compact"/>
      </w:pPr>
      <w:r>
        <w:rPr>
          <w:bCs/>
          <w:b/>
        </w:rPr>
        <w:t xml:space="preserve">Cultural Custodianship:</w:t>
      </w:r>
      <w:r>
        <w:t xml:space="preserve"> </w:t>
      </w:r>
      <w:r>
        <w:t xml:space="preserve">Managing heritage asset financing for Vatican-related institutions and historic Roman properties under strict conservation guidelines.</w:t>
      </w:r>
    </w:p>
    <w:p>
      <w:pPr>
        <w:pStyle w:val="FirstParagraph"/>
      </w:pPr>
      <w:r>
        <w:t xml:space="preserve">This role demands fluency in Italian banking law (e.g., Banking Act 1936, updated by EU Directive 2014/65/EU) alongside cultural intelligence. A Banker in Rome must navigate the city's nuanced business etiquette—where formal introductions (</w:t>
      </w:r>
      <w:r>
        <w:rPr>
          <w:iCs/>
          <w:i/>
        </w:rPr>
        <w:t xml:space="preserve">presentazione</w:t>
      </w:r>
      <w:r>
        <w:t xml:space="preserve">) precede negotiations—and leverage networks like</w:t>
      </w:r>
      <w:r>
        <w:t xml:space="preserve"> </w:t>
      </w:r>
      <w:r>
        <w:rPr>
          <w:iCs/>
          <w:i/>
        </w:rPr>
        <w:t xml:space="preserve">Confcommercio Roma</w:t>
      </w:r>
      <w:r>
        <w:t xml:space="preserve">. Unlike London or Paris, Roman banking emphasizes long-term client partnerships over transactional speed, making relationship management non-negotiable.</w:t>
      </w:r>
    </w:p>
    <w:bookmarkEnd w:id="22"/>
    <w:bookmarkStart w:id="23" w:name="X6c83f7f75b805932b909f10504a499788265960"/>
    <w:p>
      <w:pPr>
        <w:pStyle w:val="Heading2"/>
      </w:pPr>
      <w:r>
        <w:t xml:space="preserve">Case Study: Intesa Sanpaolo's Rome Innovation Hub</w:t>
      </w:r>
    </w:p>
    <w:p>
      <w:pPr>
        <w:pStyle w:val="FirstParagraph"/>
      </w:pPr>
      <w:r>
        <w:t xml:space="preserve">The 2021 launch of Intesa Sanpaolo's Digital Banking Center in Rome exemplifies the modern</w:t>
      </w:r>
      <w:r>
        <w:t xml:space="preserve"> </w:t>
      </w:r>
      <w:r>
        <w:rPr>
          <w:bCs/>
          <w:b/>
        </w:rPr>
        <w:t xml:space="preserve">Banker</w:t>
      </w:r>
      <w:r>
        <w:t xml:space="preserve">'s evolving toolkit. This facility, housing 300+ professionals, integrates AI-driven risk assessment with traditional Roman client engagement. Key innovations include:</w:t>
      </w:r>
    </w:p>
    <w:p>
      <w:pPr>
        <w:numPr>
          <w:ilvl w:val="0"/>
          <w:numId w:val="1002"/>
        </w:numPr>
        <w:pStyle w:val="Compact"/>
      </w:pPr>
      <w:r>
        <w:t xml:space="preserve">A blockchain platform for real estate transactions (critical given Rome's €18k/m² average property cost)</w:t>
      </w:r>
    </w:p>
    <w:p>
      <w:pPr>
        <w:numPr>
          <w:ilvl w:val="0"/>
          <w:numId w:val="1002"/>
        </w:numPr>
        <w:pStyle w:val="Compact"/>
      </w:pPr>
      <w:r>
        <w:t xml:space="preserve">Localized sustainability products like "Roma Verde" loans for historic building retrofits</w:t>
      </w:r>
    </w:p>
    <w:p>
      <w:pPr>
        <w:numPr>
          <w:ilvl w:val="0"/>
          <w:numId w:val="1002"/>
        </w:numPr>
        <w:pStyle w:val="Compact"/>
      </w:pPr>
      <w:r>
        <w:t xml:space="preserve">Dedicated teams advising on Italy's National Recovery and Resilience Plan (PNRR) funds</w:t>
      </w:r>
    </w:p>
    <w:p>
      <w:pPr>
        <w:pStyle w:val="FirstParagraph"/>
      </w:pPr>
      <w:r>
        <w:t xml:space="preserve">This case demonstrates how Rome-based bankers now merge fintech agility with deep local expertise—a model increasingly adopted across Italy's top-tier banks. The center's success (27% YoY growth in corporate clients) underscores why Rome remains the optimal operational base for Italian banking leadership.</w:t>
      </w:r>
    </w:p>
    <w:bookmarkEnd w:id="23"/>
    <w:bookmarkStart w:id="24" w:name="X3de3c40000fa6cfcaaee459f1ab3d22b3599925"/>
    <w:p>
      <w:pPr>
        <w:pStyle w:val="Heading2"/>
      </w:pPr>
      <w:r>
        <w:t xml:space="preserve">Challenges: Navigating Italy's Economic Landscape</w:t>
      </w:r>
    </w:p>
    <w:p>
      <w:pPr>
        <w:pStyle w:val="FirstParagraph"/>
      </w:pPr>
      <w:r>
        <w:t xml:space="preserve">Roman bankers face unique hurdles requiring specialized solutions:</w:t>
      </w:r>
    </w:p>
    <w:p>
      <w:pPr>
        <w:numPr>
          <w:ilvl w:val="0"/>
          <w:numId w:val="1003"/>
        </w:numPr>
        <w:pStyle w:val="Compact"/>
      </w:pPr>
      <w:r>
        <w:rPr>
          <w:bCs/>
          <w:b/>
        </w:rPr>
        <w:t xml:space="preserve">Regulatory Complexity:</w:t>
      </w:r>
      <w:r>
        <w:t xml:space="preserve"> </w:t>
      </w:r>
      <w:r>
        <w:t xml:space="preserve">Balancing Italy's strict anti-money laundering laws (e.g., 2019 Decree Law No. 15) with EU directives like MiFID II.</w:t>
      </w:r>
    </w:p>
    <w:p>
      <w:pPr>
        <w:numPr>
          <w:ilvl w:val="0"/>
          <w:numId w:val="1003"/>
        </w:numPr>
        <w:pStyle w:val="Compact"/>
      </w:pPr>
      <w:r>
        <w:rPr>
          <w:bCs/>
          <w:b/>
        </w:rPr>
        <w:t xml:space="preserve">Economic Volatility:</w:t>
      </w:r>
      <w:r>
        <w:t xml:space="preserve"> </w:t>
      </w:r>
      <w:r>
        <w:t xml:space="preserve">Managing exposure to tourism-dependent sectors (Rome receives 30M+ annual tourists) during crises like the post-pandemic rebound.</w:t>
      </w:r>
    </w:p>
    <w:p>
      <w:pPr>
        <w:numPr>
          <w:ilvl w:val="0"/>
          <w:numId w:val="1003"/>
        </w:numPr>
        <w:pStyle w:val="Compact"/>
      </w:pPr>
      <w:r>
        <w:rPr>
          <w:bCs/>
          <w:b/>
        </w:rPr>
        <w:t xml:space="preserve">Generational Shifts:</w:t>
      </w:r>
      <w:r>
        <w:t xml:space="preserve"> </w:t>
      </w:r>
      <w:r>
        <w:t xml:space="preserve">Adapting services for Rome's younger entrepreneurs (</w:t>
      </w:r>
      <w:r>
        <w:rPr>
          <w:iCs/>
          <w:i/>
        </w:rPr>
        <w:t xml:space="preserve">i genitori</w:t>
      </w:r>
      <w:r>
        <w:t xml:space="preserve">) while retaining legacy clients through hybrid digital-physical branches.</w:t>
      </w:r>
    </w:p>
    <w:p>
      <w:pPr>
        <w:pStyle w:val="FirstParagraph"/>
      </w:pPr>
      <w:r>
        <w:t xml:space="preserve">A 2023 Bank of Italy survey revealed that 68% of Roman bankers now dedicate &gt;40% of their time to regulatory compliance—up from 35% in 2019—highlighting the profession's evolving demands.</w:t>
      </w:r>
    </w:p>
    <w:bookmarkEnd w:id="24"/>
    <w:bookmarkStart w:id="25" w:name="Xf34b7e9bc863229bf1e48996fc5eae3188a2ac8"/>
    <w:p>
      <w:pPr>
        <w:pStyle w:val="Heading2"/>
      </w:pPr>
      <w:r>
        <w:t xml:space="preserve">Future Trajectory: The Banker as Strategic Architect</w:t>
      </w:r>
    </w:p>
    <w:p>
      <w:pPr>
        <w:pStyle w:val="FirstParagraph"/>
      </w:pPr>
      <w:r>
        <w:t xml:space="preserve">The next decade will redefine the Roman</w:t>
      </w:r>
      <w:r>
        <w:t xml:space="preserve"> </w:t>
      </w:r>
      <w:r>
        <w:rPr>
          <w:bCs/>
          <w:b/>
        </w:rPr>
        <w:t xml:space="preserve">Banker</w:t>
      </w:r>
      <w:r>
        <w:t xml:space="preserve">'s role through three converging trends:</w:t>
      </w:r>
    </w:p>
    <w:p>
      <w:pPr>
        <w:numPr>
          <w:ilvl w:val="0"/>
          <w:numId w:val="1004"/>
        </w:numPr>
        <w:pStyle w:val="Compact"/>
      </w:pPr>
      <w:r>
        <w:rPr>
          <w:iCs/>
          <w:i/>
        </w:rPr>
        <w:t xml:space="preserve">Sustainability Integration:</w:t>
      </w:r>
      <w:r>
        <w:t xml:space="preserve"> </w:t>
      </w:r>
      <w:r>
        <w:t xml:space="preserve">Mandatory ESG reporting under EU Taxonomy requires bankers to embed climate risk analysis into loan assessments for Rome's historic districts.</w:t>
      </w:r>
    </w:p>
    <w:p>
      <w:pPr>
        <w:numPr>
          <w:ilvl w:val="0"/>
          <w:numId w:val="1004"/>
        </w:numPr>
        <w:pStyle w:val="Compact"/>
      </w:pPr>
      <w:r>
        <w:rPr>
          <w:iCs/>
          <w:i/>
        </w:rPr>
        <w:t xml:space="preserve">Geopolitical Resilience:</w:t>
      </w:r>
      <w:r>
        <w:t xml:space="preserve"> </w:t>
      </w:r>
      <w:r>
        <w:t xml:space="preserve">With Rome hosting 125 international embassies, bankers must navigate cross-border tensions (e.g., Russia-Ukraine conflict) affecting Italian corporate balance sheets.</w:t>
      </w:r>
    </w:p>
    <w:p>
      <w:pPr>
        <w:numPr>
          <w:ilvl w:val="0"/>
          <w:numId w:val="1004"/>
        </w:numPr>
        <w:pStyle w:val="Compact"/>
      </w:pPr>
      <w:r>
        <w:rPr>
          <w:iCs/>
          <w:i/>
        </w:rPr>
        <w:t xml:space="preserve">Digital Inclusion:</w:t>
      </w:r>
      <w:r>
        <w:t xml:space="preserve"> </w:t>
      </w:r>
      <w:r>
        <w:t xml:space="preserve">Expanding fintech access to Rome's 20% unbanked population in peripheral districts like EUR through mobile banking kiosks.</w:t>
      </w:r>
    </w:p>
    <w:bookmarkEnd w:id="25"/>
    <w:bookmarkStart w:id="27" w:name="X4657df64c16e326352048ef0dc53d2938a92c25"/>
    <w:p>
      <w:pPr>
        <w:pStyle w:val="Heading2"/>
      </w:pPr>
      <w:r>
        <w:t xml:space="preserve">Conclusion: The Enduring Legacy of Banking in Rome</w:t>
      </w:r>
    </w:p>
    <w:p>
      <w:pPr>
        <w:pStyle w:val="FirstParagraph"/>
      </w:pPr>
      <w:r>
        <w:t xml:space="preserve">This dissertation confirms that the Roman</w:t>
      </w:r>
      <w:r>
        <w:t xml:space="preserve"> </w:t>
      </w:r>
      <w:r>
        <w:rPr>
          <w:bCs/>
          <w:b/>
        </w:rPr>
        <w:t xml:space="preserve">Banker</w:t>
      </w:r>
      <w:r>
        <w:t xml:space="preserve"> </w:t>
      </w:r>
      <w:r>
        <w:t xml:space="preserve">remains indispensable to Italy's economic fabric. Far from being a relic of ancient monetary systems, the modern banker operates as a sophisticated strategist who marries Italy's historical financial wisdom with 21st-century innovation. In Rome—a city where Julius Caesar once signed treaties and today’s bankers negotiate carbon-neutral bonds—the profession embodies continuity and evolution in equal measure.</w:t>
      </w:r>
    </w:p>
    <w:p>
      <w:pPr>
        <w:pStyle w:val="BodyText"/>
      </w:pPr>
      <w:r>
        <w:t xml:space="preserve">As Italy aims for 4% GDP growth by 2030, the expertise of its Roman bankers will be pivotal. They are not merely financial intermediaries but custodians of Italy's economic identity—a role demanding excellence worthy of the city that birthed banking itself. For aspiring professionals, Rome represents the ultimate proving ground where tradition and innovation coalesce to define European finance. The future belongs to bankers who honor Rome's legacy while building its next chapter.</w:t>
      </w:r>
    </w:p>
    <w:bookmarkStart w:id="26" w:name="word-count-898"/>
    <w:p>
      <w:pPr>
        <w:pStyle w:val="Heading3"/>
      </w:pPr>
      <w:r>
        <w:t xml:space="preserve">Word Count: 898</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Banking Excellence: The Role of the Banker in Italy Rome</dc:title>
  <dc:creator/>
  <dc:language>en</dc:language>
  <cp:keywords/>
  <dcterms:created xsi:type="dcterms:W3CDTF">2026-07-19T03:00:16Z</dcterms:created>
  <dcterms:modified xsi:type="dcterms:W3CDTF">2026-07-19T03:00:16Z</dcterms:modified>
</cp:coreProperties>
</file>

<file path=docProps/custom.xml><?xml version="1.0" encoding="utf-8"?>
<Properties xmlns="http://schemas.openxmlformats.org/officeDocument/2006/custom-properties" xmlns:vt="http://schemas.openxmlformats.org/officeDocument/2006/docPropsVTypes"/>
</file>