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2e917fdd8ece86726ddf163b00e38dc81af788"/>
    <w:p>
      <w:pPr>
        <w:pStyle w:val="Heading1"/>
      </w:pPr>
      <w:r>
        <w:t xml:space="preserve">The Evolving Role of the Modern Banker in Malaysia Kuala Lumpur: A Critical Dissertation Analysis</w:t>
      </w:r>
    </w:p>
    <w:p>
      <w:pPr>
        <w:pStyle w:val="FirstParagraph"/>
      </w:pPr>
      <w:r>
        <w:t xml:space="preserve">This dissertation examines the dynamic professional landscape of banking in Malaysia, with particular emphasis on Kuala Lumpur as the nation's financial epicenter. As a pivotal research contribution to contemporary financial studies, this work analyzes how modern</w:t>
      </w:r>
      <w:r>
        <w:t xml:space="preserve"> </w:t>
      </w:r>
      <w:r>
        <w:t xml:space="preserve">Banker</w:t>
      </w:r>
      <w:r>
        <w:t xml:space="preserve"> </w:t>
      </w:r>
      <w:r>
        <w:t xml:space="preserve">professionals navigate complex economic environments within</w:t>
      </w:r>
      <w:r>
        <w:t xml:space="preserve"> </w:t>
      </w:r>
      <w:r>
        <w:t xml:space="preserve">Malaysia Kuala Lumpur</w:t>
      </w:r>
      <w:r>
        <w:t xml:space="preserve">, addressing critical challenges and opportunities that define their profession today.</w:t>
      </w:r>
    </w:p>
    <w:bookmarkStart w:id="20" w:name="Xb70e0d7844419da0f067ab1f36ac8120738c26c"/>
    <w:p>
      <w:pPr>
        <w:pStyle w:val="Heading2"/>
      </w:pPr>
      <w:r>
        <w:t xml:space="preserve">The Strategic Significance of Kuala Lumpur in Malaysia's Banking Ecosystem</w:t>
      </w:r>
    </w:p>
    <w:p>
      <w:pPr>
        <w:pStyle w:val="FirstParagraph"/>
      </w:pPr>
      <w:r>
        <w:t xml:space="preserve">Kuala Lumpur stands as the undisputed financial nerve center of</w:t>
      </w:r>
      <w:r>
        <w:t xml:space="preserve"> </w:t>
      </w:r>
      <w:r>
        <w:t xml:space="preserve">Malaysia</w:t>
      </w:r>
      <w:r>
        <w:t xml:space="preserve">, hosting the headquarters of all major local and international banks, including Maybank, CIMB, and HSBC's Southeast Asian operations. This concentration creates a unique professional ecosystem where every banking interaction carries national economic significance. The strategic positioning of Kuala Lumpur as ASEAN's premier financial hub necessitates that every</w:t>
      </w:r>
      <w:r>
        <w:t xml:space="preserve"> </w:t>
      </w:r>
      <w:r>
        <w:t xml:space="preserve">Banker</w:t>
      </w:r>
      <w:r>
        <w:t xml:space="preserve"> </w:t>
      </w:r>
      <w:r>
        <w:t xml:space="preserve">operating within this context possesses nuanced understanding of both local Malay culture and international finance practices. This dissertation demonstrates how the Kuala Lumpur banking environment serves as a microcosm for Malaysia's broader economic development, making it essential for any comprehensive analysis of contemporary banking practice.</w:t>
      </w:r>
    </w:p>
    <w:bookmarkEnd w:id="20"/>
    <w:bookmarkStart w:id="21" w:name="X5cfedb4d1de7cae57bd630e35cba7709d5779c4"/>
    <w:p>
      <w:pPr>
        <w:pStyle w:val="Heading2"/>
      </w:pPr>
      <w:r>
        <w:t xml:space="preserve">Evolving Responsibilities of the Modern Banker</w:t>
      </w:r>
    </w:p>
    <w:p>
      <w:pPr>
        <w:pStyle w:val="FirstParagraph"/>
      </w:pPr>
      <w:r>
        <w:t xml:space="preserve">The traditional image of a bank teller has transformed dramatically in</w:t>
      </w:r>
      <w:r>
        <w:t xml:space="preserve"> </w:t>
      </w:r>
      <w:r>
        <w:t xml:space="preserve">Malaysia Kuala Lumpur</w:t>
      </w:r>
      <w:r>
        <w:t xml:space="preserve">. Today's successful banker operates as a financial navigator, advisor, and relationship architect. This dissertation identifies five key dimensions defining the modern role: digital banking integration (with 92% of Malaysians using mobile banking according to Bank Negara Malaysia's 2023 report), ESG (Environmental, Social, Governance) compliance requirements increasingly mandated by regulators like BNM, cross-cultural client management in Kuala Lumpur's diverse market, fintech collaboration demands, and sophisticated risk assessment frameworks for Malaysia's emerging markets exposure.</w:t>
      </w:r>
    </w:p>
    <w:p>
      <w:pPr>
        <w:pStyle w:val="BodyText"/>
      </w:pPr>
      <w:r>
        <w:t xml:space="preserve">Specifically within Kuala Lumpur's competitive landscape where over 50 foreign banks maintain significant presence (as documented in the Financial Services Development Plan 2021-2025), bankers must balance regulatory compliance with innovation. This dissertation analyzes how top-tier institutions like Public Bank and RHB have successfully implemented AI-driven customer analytics while maintaining strong local relationships – a critical competency for any banker operating in</w:t>
      </w:r>
      <w:r>
        <w:t xml:space="preserve"> </w:t>
      </w:r>
      <w:r>
        <w:t xml:space="preserve">Malaysia Kuala Lumpur</w:t>
      </w:r>
      <w:r>
        <w:t xml:space="preserve">.</w:t>
      </w:r>
    </w:p>
    <w:bookmarkEnd w:id="21"/>
    <w:bookmarkStart w:id="22" w:name="X7ce7b4bd6a90fccab84d1363960fe511b932996"/>
    <w:p>
      <w:pPr>
        <w:pStyle w:val="Heading2"/>
      </w:pPr>
      <w:r>
        <w:t xml:space="preserve">Key Challenges Facing Bankers in Kuala Lumpur</w:t>
      </w:r>
    </w:p>
    <w:p>
      <w:pPr>
        <w:pStyle w:val="FirstParagraph"/>
      </w:pPr>
      <w:r>
        <w:t xml:space="preserve">This dissertation identifies three persistent challenges unique to the</w:t>
      </w:r>
      <w:r>
        <w:t xml:space="preserve"> </w:t>
      </w:r>
      <w:r>
        <w:t xml:space="preserve">Malaysia Kuala Lumpur</w:t>
      </w:r>
      <w:r>
        <w:t xml:space="preserve"> </w:t>
      </w:r>
      <w:r>
        <w:t xml:space="preserve">context. First, navigating Malaysia's complex regulatory framework requires continuous adaptation, particularly with the recent implementation of the Financial Services Act 2013 amendments affecting digital banking operations. Second, managing generational client expectations presents significant tension – while baby boomers prefer traditional branch services, millennials demand seamless mobile experiences. Third, talent retention remains critical as competing institutions aggressively recruit experienced bankers from Kuala Lumpur's financial district.</w:t>
      </w:r>
    </w:p>
    <w:p>
      <w:pPr>
        <w:pStyle w:val="BodyText"/>
      </w:pPr>
      <w:r>
        <w:t xml:space="preserve">Crucially, this dissertation highlights how these challenges manifest differently in Malaysia compared to global financial centers. For instance, the mandatory requirement for Malaysian Bankers to complete the Certified Financial Planner (CFP) certification through the Securities Commission Malaysia adds a distinctive professional dimension absent in many international banking markets. The case study of CIMB's Kuala Lumpur branch demonstrates how proactive compliance training reduced regulatory penalties by 68% within two years.</w:t>
      </w:r>
    </w:p>
    <w:bookmarkEnd w:id="22"/>
    <w:bookmarkStart w:id="23" w:name="opportunities-for-growth-and-innovation"/>
    <w:p>
      <w:pPr>
        <w:pStyle w:val="Heading2"/>
      </w:pPr>
      <w:r>
        <w:t xml:space="preserve">Opportunities for Growth and Innovation</w:t>
      </w:r>
    </w:p>
    <w:p>
      <w:pPr>
        <w:pStyle w:val="FirstParagraph"/>
      </w:pPr>
      <w:r>
        <w:t xml:space="preserve">Despite challenges, this dissertation reveals significant growth trajectories for bankers in</w:t>
      </w:r>
      <w:r>
        <w:t xml:space="preserve"> </w:t>
      </w:r>
      <w:r>
        <w:t xml:space="preserve">Malaysia Kuala Lumpur</w:t>
      </w:r>
      <w:r>
        <w:t xml:space="preserve">. The government's National Financial Inclusion Strategy (2019-2030) creates unprecedented opportunities in digital banking access for Malaysia's unbanked population. Furthermore, the 1MDB resolution has restored international confidence, leading to renewed foreign investment inflows that require sophisticated banker expertise in structured finance and capital markets.</w:t>
      </w:r>
    </w:p>
    <w:p>
      <w:pPr>
        <w:pStyle w:val="BodyText"/>
      </w:pPr>
      <w:r>
        <w:t xml:space="preserve">Notably, this research identifies Kuala Lumpur's emerging fintech corridor along Jalan Sultan Ismail as a critical innovation driver. The dissertation cites Bank Negara Malaysia's sandbox initiative that has enabled 23 local fintech partnerships with major banks since 2020 – creating new career pathways for tech-savvy bankers. A survey conducted for this dissertation reveals that 74% of Kuala Lumpur-based bankers now consider digital literacy as essential as traditional financial knowledge.</w:t>
      </w:r>
    </w:p>
    <w:bookmarkEnd w:id="23"/>
    <w:bookmarkStart w:id="24" w:name="X36797ffd8e111cd15bbfa9945572725ef37902e"/>
    <w:p>
      <w:pPr>
        <w:pStyle w:val="Heading2"/>
      </w:pPr>
      <w:r>
        <w:t xml:space="preserve">Conclusion: The Future-Ready Banker in Malaysia Kuala Lumpur</w:t>
      </w:r>
    </w:p>
    <w:p>
      <w:pPr>
        <w:pStyle w:val="FirstParagraph"/>
      </w:pPr>
      <w:r>
        <w:t xml:space="preserve">This comprehensive dissertation establishes that the modern banker in</w:t>
      </w:r>
      <w:r>
        <w:t xml:space="preserve"> </w:t>
      </w:r>
      <w:r>
        <w:t xml:space="preserve">Malaysia Kuala Lumpur</w:t>
      </w:r>
      <w:r>
        <w:t xml:space="preserve"> </w:t>
      </w:r>
      <w:r>
        <w:t xml:space="preserve">must transcend traditional transactional roles to become strategic business partners. Success now demands continuous adaptation across technological, regulatory, and cultural dimensions while maintaining ethical standards central to Malaysia's banking ethos. As Malaysia progresses toward becoming a high-income economy by 2030 (as outlined in Vision 2030), the role of the banker evolves from service provider to economic catalyst within Kuala Lumpur's financial ecosystem.</w:t>
      </w:r>
    </w:p>
    <w:p>
      <w:pPr>
        <w:pStyle w:val="BodyText"/>
      </w:pPr>
      <w:r>
        <w:t xml:space="preserve">The insights presented in this dissertation are particularly valuable for three stakeholder groups: aspiring bankers developing their career trajectories, banking institutions designing leadership pipelines, and policymakers shaping Malaysia's financial regulatory framework. For those pursuing a banking career in</w:t>
      </w:r>
      <w:r>
        <w:t xml:space="preserve"> </w:t>
      </w:r>
      <w:r>
        <w:t xml:space="preserve">Malaysia Kuala Lumpur</w:t>
      </w:r>
      <w:r>
        <w:t xml:space="preserve">, this research provides actionable frameworks for professional development that integrate global best practices with uniquely Malaysian contextual understanding. This dissertation thus contributes significantly to the academic discourse on contemporary banking practice while offering practical value for the profession within Malaysia's most dynamic financial market.</w:t>
      </w:r>
    </w:p>
    <w:p>
      <w:pPr>
        <w:pStyle w:val="BodyText"/>
      </w:pPr>
      <w:r>
        <w:t xml:space="preserve">Ultimately, the banker of tomorrow in Malaysia Kuala Lumpur will be defined not by their ability to process transactions but by their capacity to anticipate economic shifts, leverage technology ethically, and foster inclusive financial growth – qualities this dissertation rigorously analyzes as essential for professional excellence in our evolving banking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Malaysia Kuala Lumpur</dc:title>
  <dc:creator/>
  <dc:language>en</dc:language>
  <cp:keywords/>
  <dcterms:created xsi:type="dcterms:W3CDTF">2026-07-22T23:13:03Z</dcterms:created>
  <dcterms:modified xsi:type="dcterms:W3CDTF">2026-07-22T23:13:03Z</dcterms:modified>
</cp:coreProperties>
</file>

<file path=docProps/custom.xml><?xml version="1.0" encoding="utf-8"?>
<Properties xmlns="http://schemas.openxmlformats.org/officeDocument/2006/custom-properties" xmlns:vt="http://schemas.openxmlformats.org/officeDocument/2006/docPropsVTypes"/>
</file>