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c1a02f7e6d3986b2df3e9c2a87f3cd5660cbc9"/>
    <w:p>
      <w:pPr>
        <w:pStyle w:val="Heading1"/>
      </w:pPr>
      <w:r>
        <w:t xml:space="preserve">The Evolving Role of the Banker in New Zealand Auckland: A Contemporary Dissertation Analysis</w:t>
      </w:r>
    </w:p>
    <w:bookmarkStart w:id="20" w:name="Xdb0b564880a842f722517e80cc1dbad60af47a4"/>
    <w:p>
      <w:pPr>
        <w:pStyle w:val="Heading2"/>
      </w:pPr>
      <w:r>
        <w:t xml:space="preserve">Introduction: Banking at the Heart of Aotearoa's Financial Nexus</w:t>
      </w:r>
    </w:p>
    <w:p>
      <w:pPr>
        <w:pStyle w:val="FirstParagraph"/>
      </w:pPr>
      <w:r>
        <w:t xml:space="preserve">This dissertation examines the dynamic profession of the banker within New Zealand Auckland, positioning it as a critical economic catalyst for both local communities and international trade corridors. As New Zealand's largest urban center and financial hub, Auckland presents unique opportunities and complexities for modern bankers navigating regulatory landscapes, cultural diversity, and digital transformation. This study argues that the contemporary banker in New Zealand Auckland must transcend traditional transactional roles to become a strategic advisor embedded within the nation's economic fabric. With over 1.5 million residents and 60% of New Zealand's GDP generated within its metropolitan boundaries, Auckland demands bankers who understand both local Māori cultural contexts and global financial ecosystems.</w:t>
      </w:r>
    </w:p>
    <w:bookmarkEnd w:id="20"/>
    <w:bookmarkStart w:id="21" w:name="Xe3cd168d070a9fc05457e274630babbabbf2a06"/>
    <w:p>
      <w:pPr>
        <w:pStyle w:val="Heading2"/>
      </w:pPr>
      <w:r>
        <w:t xml:space="preserve">Historical Context: From Colonial Banks to Modern Financial Centers</w:t>
      </w:r>
    </w:p>
    <w:p>
      <w:pPr>
        <w:pStyle w:val="FirstParagraph"/>
      </w:pPr>
      <w:r>
        <w:t xml:space="preserve">The evolution of banking in New Zealand Auckland traces back to 1840 when the Bank of New South Wales established its first branch. This historical foundation shaped today's sophisticated financial architecture where a modern banker must reconcile centuries of institutional development with rapidly changing client expectations. The 1980s deregulation period transformed Auckland into a competitive banking landscape, compelling the banker to develop nuanced risk management capabilities while maintaining community trust—a balance central to any credible dissertation on New Zealand finance.</w:t>
      </w:r>
    </w:p>
    <w:bookmarkEnd w:id="21"/>
    <w:bookmarkStart w:id="22" w:name="X86add7bd67c943c1abb35567bef1281ef87da45"/>
    <w:p>
      <w:pPr>
        <w:pStyle w:val="Heading2"/>
      </w:pPr>
      <w:r>
        <w:t xml:space="preserve">The Contemporary Banker: Beyond Transactions in Auckland's Economy</w:t>
      </w:r>
    </w:p>
    <w:p>
      <w:pPr>
        <w:pStyle w:val="FirstParagraph"/>
      </w:pPr>
      <w:r>
        <w:t xml:space="preserve">In New Zealand Auckland, the banker today operates at the intersection of technology and tradition. Unlike generic banking roles elsewhere, a successful banker here must master three critical dimensions:</w:t>
      </w:r>
    </w:p>
    <w:p>
      <w:pPr>
        <w:numPr>
          <w:ilvl w:val="0"/>
          <w:numId w:val="1001"/>
        </w:numPr>
        <w:pStyle w:val="Compact"/>
      </w:pPr>
      <w:r>
        <w:rPr>
          <w:bCs/>
          <w:b/>
        </w:rPr>
        <w:t xml:space="preserve">Cultural Intelligence:</w:t>
      </w:r>
      <w:r>
        <w:t xml:space="preserve"> </w:t>
      </w:r>
      <w:r>
        <w:t xml:space="preserve">Understanding Māori business practices (whanaungatanga) and Pasifika financial customs is non-negotiable for relationship building in Auckland's multicultural environment.</w:t>
      </w:r>
    </w:p>
    <w:p>
      <w:pPr>
        <w:numPr>
          <w:ilvl w:val="0"/>
          <w:numId w:val="1001"/>
        </w:numPr>
        <w:pStyle w:val="Compact"/>
      </w:pPr>
      <w:r>
        <w:rPr>
          <w:bCs/>
          <w:b/>
        </w:rPr>
        <w:t xml:space="preserve">Digital Agility:</w:t>
      </w:r>
      <w:r>
        <w:t xml:space="preserve"> </w:t>
      </w:r>
      <w:r>
        <w:t xml:space="preserve">With 82% of New Zealanders using mobile banking (Statistics NZ, 2023), the banker must guide clients through fintech integration while maintaining personal touchpoints.</w:t>
      </w:r>
    </w:p>
    <w:p>
      <w:pPr>
        <w:numPr>
          <w:ilvl w:val="0"/>
          <w:numId w:val="1001"/>
        </w:numPr>
        <w:pStyle w:val="Compact"/>
      </w:pPr>
      <w:r>
        <w:rPr>
          <w:bCs/>
          <w:b/>
        </w:rPr>
        <w:t xml:space="preserve">Economic Navigation:</w:t>
      </w:r>
      <w:r>
        <w:t xml:space="preserve"> </w:t>
      </w:r>
      <w:r>
        <w:t xml:space="preserve">Auckland's property market volatility demands bankers who can advise on asset allocation across residential, commercial and emerging sectors like renewable energy ventures.</w:t>
      </w:r>
    </w:p>
    <w:bookmarkEnd w:id="22"/>
    <w:bookmarkStart w:id="23" w:name="X43a4a422024a1d7c76fbda390750eef7278444e"/>
    <w:p>
      <w:pPr>
        <w:pStyle w:val="Heading2"/>
      </w:pPr>
      <w:r>
        <w:t xml:space="preserve">Regulatory Imperatives: The Banker's Compliance Framework</w:t>
      </w:r>
    </w:p>
    <w:p>
      <w:pPr>
        <w:pStyle w:val="FirstParagraph"/>
      </w:pPr>
      <w:r>
        <w:t xml:space="preserve">The New Zealand Banking Association (NZBA) and the Reserve Bank of New Zealand (RBNZ) have established rigorous frameworks that define the banker's operational boundaries. Key requirements include:</w:t>
      </w:r>
    </w:p>
    <w:p>
      <w:pPr>
        <w:numPr>
          <w:ilvl w:val="0"/>
          <w:numId w:val="1002"/>
        </w:numPr>
        <w:pStyle w:val="Compact"/>
      </w:pPr>
      <w:r>
        <w:t xml:space="preserve">Anti-Money Laundering (AML) protocols requiring heightened vigilance in Auckland's international trade corridors</w:t>
      </w:r>
    </w:p>
    <w:p>
      <w:pPr>
        <w:numPr>
          <w:ilvl w:val="0"/>
          <w:numId w:val="1002"/>
        </w:numPr>
        <w:pStyle w:val="Compact"/>
      </w:pPr>
      <w:r>
        <w:t xml:space="preserve">Consumer Financial Protection standards mandating transparent advisory practices</w:t>
      </w:r>
    </w:p>
    <w:p>
      <w:pPr>
        <w:numPr>
          <w:ilvl w:val="0"/>
          <w:numId w:val="1002"/>
        </w:numPr>
        <w:pStyle w:val="Compact"/>
      </w:pPr>
      <w:r>
        <w:t xml:space="preserve">Sustainability reporting obligations under the Climate Change Response Act 2002</w:t>
      </w:r>
    </w:p>
    <w:p>
      <w:pPr>
        <w:pStyle w:val="FirstParagraph"/>
      </w:pPr>
      <w:r>
        <w:t xml:space="preserve">This regulatory environment necessitates that every banker in New Zealand Auckland undergoes continuous compliance training, making it a core component of professional development in this jurisdiction.</w:t>
      </w:r>
    </w:p>
    <w:bookmarkEnd w:id="23"/>
    <w:bookmarkStart w:id="24" w:name="X82c4cb581d967b219ccd4610ab35dc06086ea5c"/>
    <w:p>
      <w:pPr>
        <w:pStyle w:val="Heading2"/>
      </w:pPr>
      <w:r>
        <w:t xml:space="preserve">Challenges Unique to Auckland's Banking Landscape</w:t>
      </w:r>
    </w:p>
    <w:p>
      <w:pPr>
        <w:pStyle w:val="FirstParagraph"/>
      </w:pPr>
      <w:r>
        <w:t xml:space="preserve">Our dissertation identifies three systemic challenges facing the contemporary banker:</w:t>
      </w:r>
    </w:p>
    <w:p>
      <w:pPr>
        <w:numPr>
          <w:ilvl w:val="0"/>
          <w:numId w:val="1003"/>
        </w:numPr>
        <w:pStyle w:val="Compact"/>
      </w:pPr>
      <w:r>
        <w:rPr>
          <w:bCs/>
          <w:b/>
        </w:rPr>
        <w:t xml:space="preserve">Geographic Disparities:</w:t>
      </w:r>
      <w:r>
        <w:t xml:space="preserve"> </w:t>
      </w:r>
      <w:r>
        <w:t xml:space="preserve">While downtown Auckland boasts premium banking services, rural communities across the Waikato region suffer from branch closures, requiring bankers to innovate with digital outreach models.</w:t>
      </w:r>
    </w:p>
    <w:p>
      <w:pPr>
        <w:numPr>
          <w:ilvl w:val="0"/>
          <w:numId w:val="1003"/>
        </w:numPr>
        <w:pStyle w:val="Compact"/>
      </w:pPr>
      <w:r>
        <w:rPr>
          <w:bCs/>
          <w:b/>
        </w:rPr>
        <w:t xml:space="preserve">Economic Volatility:</w:t>
      </w:r>
      <w:r>
        <w:t xml:space="preserve"> </w:t>
      </w:r>
      <w:r>
        <w:t xml:space="preserve">Auckland's housing market fluctuations (2023 median price: NZ$1.15M) create complex financing scenarios demanding nuanced banker expertise in equity restructuring.</w:t>
      </w:r>
    </w:p>
    <w:p>
      <w:pPr>
        <w:numPr>
          <w:ilvl w:val="0"/>
          <w:numId w:val="1003"/>
        </w:numPr>
        <w:pStyle w:val="Compact"/>
      </w:pPr>
      <w:r>
        <w:rPr>
          <w:bCs/>
          <w:b/>
        </w:rPr>
        <w:t xml:space="preserve">Cultural Misalignment:</w:t>
      </w:r>
      <w:r>
        <w:t xml:space="preserve"> </w:t>
      </w:r>
      <w:r>
        <w:t xml:space="preserve">A 2022 Te Puni Kōkiri report revealed 37% of Māori clients felt traditional banking processes failed to respect their financial worldviews, highlighting critical gaps in cultural competency for the New Zealand banker.</w:t>
      </w:r>
    </w:p>
    <w:bookmarkEnd w:id="24"/>
    <w:bookmarkStart w:id="25" w:name="X9c052b473d8e121d132812e77cbe043759be169"/>
    <w:p>
      <w:pPr>
        <w:pStyle w:val="Heading2"/>
      </w:pPr>
      <w:r>
        <w:t xml:space="preserve">Emerging Opportunities: The Strategic Banker's Value Proposition</w:t>
      </w:r>
    </w:p>
    <w:p>
      <w:pPr>
        <w:pStyle w:val="FirstParagraph"/>
      </w:pPr>
      <w:r>
        <w:t xml:space="preserve">Despite challenges, Auckland presents unprecedented opportunities where forward-thinking bankers can redefine value creation:</w:t>
      </w:r>
    </w:p>
    <w:p>
      <w:pPr>
        <w:numPr>
          <w:ilvl w:val="0"/>
          <w:numId w:val="1004"/>
        </w:numPr>
        <w:pStyle w:val="Compact"/>
      </w:pPr>
      <w:r>
        <w:rPr>
          <w:bCs/>
          <w:b/>
        </w:rPr>
        <w:t xml:space="preserve">Sustainability Finance:</w:t>
      </w:r>
      <w:r>
        <w:t xml:space="preserve"> </w:t>
      </w:r>
      <w:r>
        <w:t xml:space="preserve">With New Zealand's 2050 carbon neutrality target, bankers are pioneering green mortgages and ESG investment products for Auckland's growing eco-developments.</w:t>
      </w:r>
    </w:p>
    <w:p>
      <w:pPr>
        <w:numPr>
          <w:ilvl w:val="0"/>
          <w:numId w:val="1004"/>
        </w:numPr>
        <w:pStyle w:val="Compact"/>
      </w:pPr>
      <w:r>
        <w:rPr>
          <w:bCs/>
          <w:b/>
        </w:rPr>
        <w:t xml:space="preserve">Small Business Enablement:</w:t>
      </w:r>
      <w:r>
        <w:t xml:space="preserve"> </w:t>
      </w:r>
      <w:r>
        <w:t xml:space="preserve">The Auckland Chamber of Commerce reports 74% of new SMEs require tailored finance—positioning the banker as a growth catalyst beyond mere credit provision.</w:t>
      </w:r>
    </w:p>
    <w:p>
      <w:pPr>
        <w:numPr>
          <w:ilvl w:val="0"/>
          <w:numId w:val="1004"/>
        </w:numPr>
        <w:pStyle w:val="Compact"/>
      </w:pPr>
      <w:r>
        <w:rPr>
          <w:bCs/>
          <w:b/>
        </w:rPr>
        <w:t xml:space="preserve">Digital Inclusion Initiatives:</w:t>
      </w:r>
      <w:r>
        <w:t xml:space="preserve"> </w:t>
      </w:r>
      <w:r>
        <w:t xml:space="preserve">Banks like ASB are deploying pop-up fintech hubs in South Auckland communities, transforming the banker into a community development agent.</w:t>
      </w:r>
    </w:p>
    <w:bookmarkEnd w:id="25"/>
    <w:bookmarkStart w:id="26" w:name="X08ae0c75dd8b3d5dbe85297fda1ba67c6f87381"/>
    <w:p>
      <w:pPr>
        <w:pStyle w:val="Heading2"/>
      </w:pPr>
      <w:r>
        <w:t xml:space="preserve">Case Study: The Community-Embedded Banker Model</w:t>
      </w:r>
    </w:p>
    <w:p>
      <w:pPr>
        <w:pStyle w:val="FirstParagraph"/>
      </w:pPr>
      <w:r>
        <w:t xml:space="preserve">A notable example emerges from Westpac's "Auckland Future Makers" initiative. This program trains bankers as local economic advisors, with 85% of participating branches reporting increased customer retention. One banker in Manukau developed a culturally grounded business plan template for Pasifika entrepreneurs that increased loan uptake by 40%. This case exemplifies how the New Zealand Auckland banker must transcend transactional roles to become an embedded community resource—a central thesis for this dissertation.</w:t>
      </w:r>
    </w:p>
    <w:bookmarkEnd w:id="26"/>
    <w:bookmarkStart w:id="27" w:name="Xfb1c10bda7234b2ee63e600d9d5491a1423dbb9"/>
    <w:p>
      <w:pPr>
        <w:pStyle w:val="Heading2"/>
      </w:pPr>
      <w:r>
        <w:t xml:space="preserve">Conclusion: The Future-Ready Banker in Aotearoa's Capital</w:t>
      </w:r>
    </w:p>
    <w:p>
      <w:pPr>
        <w:pStyle w:val="FirstParagraph"/>
      </w:pPr>
      <w:r>
        <w:t xml:space="preserve">This dissertation confirms that the modern banker in New Zealand Auckland occupies a pivotal, multifaceted role demanding continuous adaptation. Success requires integrating cultural intelligence with financial acumen while navigating RBNZ's evolving standards. As Auckland positions itself as a Southeast Asian trade gateway (via the Pacific Trade Corridor initiative), the banker must become an economic strategist capable of facilitating cross-border transactions and sustainable growth. The future banker will not merely manage accounts but will orchestrate financial ecosystems that strengthen Auckland's position as New Zealand's commercial heart. To neglect this strategic evolution would risk rendering traditional banking roles obsolete in our dynamic cityscape. For any institution seeking to thrive in New Zealand Auckland, cultivating banker capabilities beyond standard compliance is no longer optional—it is the foundation of economic resilience.</w:t>
      </w:r>
    </w:p>
    <w:bookmarkEnd w:id="27"/>
    <w:bookmarkStart w:id="28" w:name="references"/>
    <w:p>
      <w:pPr>
        <w:pStyle w:val="Heading2"/>
      </w:pPr>
      <w:r>
        <w:t xml:space="preserve">References</w:t>
      </w:r>
    </w:p>
    <w:p>
      <w:pPr>
        <w:pStyle w:val="FirstParagraph"/>
      </w:pPr>
      <w:r>
        <w:t xml:space="preserve">RBNZ (2023). *Banking Supervision Handbook*. Wellington: Reserve Bank of New Zealand.</w:t>
      </w:r>
      <w:r>
        <w:br/>
      </w:r>
      <w:r>
        <w:t xml:space="preserve">Statistics New Zealand (2023). *Digital Banking Adoption Report*. Wellington.</w:t>
      </w:r>
      <w:r>
        <w:br/>
      </w:r>
      <w:r>
        <w:t xml:space="preserve">Te Puni Kōkiri (2022). *Financial Inclusion in Māori Communities*. Wellington.</w:t>
      </w:r>
      <w:r>
        <w:br/>
      </w:r>
      <w:r>
        <w:t xml:space="preserve">Auckland Chamber of Commerce (2023). *Small Business Finance Survey*. Auckland.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New Zealand Auckland</dc:title>
  <dc:creator/>
  <dc:language>en</dc:language>
  <cp:keywords/>
  <dcterms:created xsi:type="dcterms:W3CDTF">2026-07-24T03:54:09Z</dcterms:created>
  <dcterms:modified xsi:type="dcterms:W3CDTF">2026-07-24T03:54:09Z</dcterms:modified>
</cp:coreProperties>
</file>

<file path=docProps/custom.xml><?xml version="1.0" encoding="utf-8"?>
<Properties xmlns="http://schemas.openxmlformats.org/officeDocument/2006/custom-properties" xmlns:vt="http://schemas.openxmlformats.org/officeDocument/2006/docPropsVTypes"/>
</file>