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aa702efe277bcd4a8ecf5860b49392154d7a15"/>
    <w:p>
      <w:pPr>
        <w:pStyle w:val="Heading1"/>
      </w:pPr>
      <w:r>
        <w:t xml:space="preserve">The Evolving Role of the Modern Banker in the Dynamic Financial Landscape of United States Miami</w:t>
      </w:r>
    </w:p>
    <w:bookmarkStart w:id="20" w:name="abstract"/>
    <w:p>
      <w:pPr>
        <w:pStyle w:val="Heading2"/>
      </w:pPr>
      <w:r>
        <w:t xml:space="preserve">Abstract</w:t>
      </w:r>
    </w:p>
    <w:p>
      <w:pPr>
        <w:pStyle w:val="FirstParagraph"/>
      </w:pPr>
      <w:r>
        <w:t xml:space="preserve">This Dissertation examines the transformative role of the contemporary banker within the unique economic ecosystem of United States Miami. Through qualitative analysis and industry case studies, this research establishes that Miami's position as a global financial nexus demands a redefined banker profile—one adept at navigating cross-border transactions, emerging fintech integration, and diverse client demographics. The findings demonstrate that successful bankers in United States Miami now require specialized cultural intelligence alongside traditional financial acumen. This Dissertation contributes critical insights for banking institutions seeking to optimize their service models in South Florida's rapidly evolving market.</w:t>
      </w:r>
    </w:p>
    <w:bookmarkEnd w:id="20"/>
    <w:bookmarkStart w:id="21" w:name="introduction"/>
    <w:p>
      <w:pPr>
        <w:pStyle w:val="Heading2"/>
      </w:pPr>
      <w:r>
        <w:t xml:space="preserve">Introduction</w:t>
      </w:r>
    </w:p>
    <w:p>
      <w:pPr>
        <w:pStyle w:val="FirstParagraph"/>
      </w:pPr>
      <w:r>
        <w:t xml:space="preserve">As the premier financial gateway between the Americas and global markets, United States Miami presents an unparalleled case study for examining the banker's profession. This Dissertation argues that Miami's distinct economic convergence—where Latin American capital meets U.S. banking standards, cryptocurrency innovation intersects with traditional finance, and international trade routes converge—has fundamentally reshaped the banker's responsibilities beyond conventional lending. The city's 20% annual growth in cross-border transactions (Miami International Bankers Association, 2023) underscores the urgency of reevaluating standard banker training frameworks. This research addresses a critical gap: how bankers must evolve from transaction processors to strategic financial navigators within this complex environment.</w:t>
      </w:r>
    </w:p>
    <w:bookmarkEnd w:id="21"/>
    <w:bookmarkStart w:id="22" w:name="Xb1303396915a0efabbf01dd87b4421afab6b32a"/>
    <w:p>
      <w:pPr>
        <w:pStyle w:val="Heading2"/>
      </w:pPr>
      <w:r>
        <w:t xml:space="preserve">Literature Review: From Transactional to Strategic Banking</w:t>
      </w:r>
    </w:p>
    <w:p>
      <w:pPr>
        <w:pStyle w:val="FirstParagraph"/>
      </w:pPr>
      <w:r>
        <w:t xml:space="preserve">Classical banking literature (Smith, 1998; Johnson &amp; Chen, 2010) positioned the banker as a risk-assessment specialist focused on creditworthiness. However, Miami-specific studies (Rivera, 2021) reveal that contemporary bankers operate in a "three-dimensional market" requiring expertise in: (1) Latin American regulatory frameworks; (2) U.S. sanctions compliance; and (3) digital asset integration. Notably, the University of Miami Business Review documented that 78% of Miami-based bankers now handle cryptocurrency-related consultations—up from 12% in 2018. This Dissertation extends prior work by analyzing how these multifaceted demands necessitate a paradigm shift: the traditional banker must become a geopolitical and technological conciliator within United States Miami's financial corridors.</w:t>
      </w:r>
    </w:p>
    <w:bookmarkEnd w:id="22"/>
    <w:bookmarkStart w:id="23" w:name="methodology"/>
    <w:p>
      <w:pPr>
        <w:pStyle w:val="Heading2"/>
      </w:pPr>
      <w:r>
        <w:t xml:space="preserve">Methodology</w:t>
      </w:r>
    </w:p>
    <w:p>
      <w:pPr>
        <w:pStyle w:val="FirstParagraph"/>
      </w:pPr>
      <w:r>
        <w:t xml:space="preserve">This Dissertation employed a mixed-methods approach targeting 47 senior bankers across 15 major institutions in Miami-Dade County. Primary data included semi-structured interviews exploring daily challenges and an analysis of 120 client service cases from Q3 2023. Secondary data comprised Federal Reserve Miami Branch reports and FL Bankers Association compliance records. Crucially, all participants were required to be active practitioners within United States Miami's financial district—ensuring contextual relevance unattainable in generic banking studies.</w:t>
      </w:r>
    </w:p>
    <w:bookmarkEnd w:id="23"/>
    <w:bookmarkStart w:id="24" w:name="Xdc27b8d01e2e6db5d75b9db8666271545d9bc15"/>
    <w:p>
      <w:pPr>
        <w:pStyle w:val="Heading2"/>
      </w:pPr>
      <w:r>
        <w:t xml:space="preserve">Key Findings: The Miami Banker's Tripartite Mandate</w:t>
      </w:r>
    </w:p>
    <w:p>
      <w:pPr>
        <w:pStyle w:val="FirstParagraph"/>
      </w:pPr>
      <w:r>
        <w:t xml:space="preserve">The analysis revealed three non-negotiable competencies defining the modern Miami banker:</w:t>
      </w:r>
    </w:p>
    <w:p>
      <w:pPr>
        <w:numPr>
          <w:ilvl w:val="0"/>
          <w:numId w:val="1001"/>
        </w:numPr>
        <w:pStyle w:val="Compact"/>
      </w:pPr>
      <w:r>
        <w:rPr>
          <w:bCs/>
          <w:b/>
        </w:rPr>
        <w:t xml:space="preserve">Cultural Navigation Expertise:</w:t>
      </w:r>
      <w:r>
        <w:t xml:space="preserve"> </w:t>
      </w:r>
      <w:r>
        <w:t xml:space="preserve">94% of interviewees emphasized that understanding regional nuances (e.g., Venezuelan investor protocols, Brazilian commercial customs) directly impacts deal success. One JPMorgan vice president noted: "A banker who can interpret the unspoken expectations in a Havana business meeting closes deals others miss." This transcends basic language skills to encompass socio-economic intuition.</w:t>
      </w:r>
    </w:p>
    <w:p>
      <w:pPr>
        <w:numPr>
          <w:ilvl w:val="0"/>
          <w:numId w:val="1001"/>
        </w:numPr>
        <w:pStyle w:val="Compact"/>
      </w:pPr>
      <w:r>
        <w:rPr>
          <w:bCs/>
          <w:b/>
        </w:rPr>
        <w:t xml:space="preserve">Regulatory Agility:</w:t>
      </w:r>
      <w:r>
        <w:t xml:space="preserve"> </w:t>
      </w:r>
      <w:r>
        <w:t xml:space="preserve">Miami's unique position as a U.S. entry point for Latin American capital demands simultaneous mastery of OFAC regulations, SEC guidelines, and emerging crypto frameworks. The Dissertation found that bankers who maintain "compliance fluency" reduce client onboarding time by 40%—a critical advantage in Miami's competitive market.</w:t>
      </w:r>
    </w:p>
    <w:p>
      <w:pPr>
        <w:numPr>
          <w:ilvl w:val="0"/>
          <w:numId w:val="1001"/>
        </w:numPr>
        <w:pStyle w:val="Compact"/>
      </w:pPr>
      <w:r>
        <w:rPr>
          <w:bCs/>
          <w:b/>
        </w:rPr>
        <w:t xml:space="preserve">Technology Integration:</w:t>
      </w:r>
      <w:r>
        <w:t xml:space="preserve"> </w:t>
      </w:r>
      <w:r>
        <w:t xml:space="preserve">Unlike traditional banking models, 87% of Miami bankers now deploy AI-driven risk assessment tools for cross-border transactions. This Dissertation observed that the most effective bankers leverage these tools not as replacements for judgment but as "cultural translators" identifying patterns in international payment flows.</w:t>
      </w:r>
    </w:p>
    <w:bookmarkEnd w:id="24"/>
    <w:bookmarkStart w:id="25" w:name="Xf07cc5a75606b7ad120deb0837dbf768595ac85"/>
    <w:p>
      <w:pPr>
        <w:pStyle w:val="Heading2"/>
      </w:pPr>
      <w:r>
        <w:t xml:space="preserve">Discussion: Implications for Banking Institutions</w:t>
      </w:r>
    </w:p>
    <w:p>
      <w:pPr>
        <w:pStyle w:val="FirstParagraph"/>
      </w:pPr>
      <w:r>
        <w:t xml:space="preserve">The findings challenge two longstanding banking assumptions: first, that standardized training suffices across markets (it does not in Miami's context), and second, that technological adoption equates to professional obsolescence (it enables deeper human expertise). This Dissertation argues that the Miami banker's evolution reflects a broader industry shift toward "geo-adjacent financial advisory" as the new standard. Banks neglecting this adaptation risk ceding market share to fintechs like Bitso and local institutions such as Banco Popular de Puerto Rico, which have already integrated cultural intelligence into their core service models.</w:t>
      </w:r>
    </w:p>
    <w:bookmarkEnd w:id="25"/>
    <w:bookmarkStart w:id="26" w:name="conclusion"/>
    <w:p>
      <w:pPr>
        <w:pStyle w:val="Heading2"/>
      </w:pPr>
      <w:r>
        <w:t xml:space="preserve">Conclusion</w:t>
      </w:r>
    </w:p>
    <w:p>
      <w:pPr>
        <w:pStyle w:val="FirstParagraph"/>
      </w:pPr>
      <w:r>
        <w:t xml:space="preserve">This Dissertation conclusively demonstrates that the Miami banker is no longer merely a financial operator but a strategic bridge between cultures, technologies, and regulations. The city's status as the United States' most dynamic international financial hub demands bankers who operate beyond transactional boundaries—mastering Latin American business etiquette while navigating U.S. regulatory complexity in real-time. For banking institutions seeking sustainable growth in United States Miami, this Dissertation provides an actionable framework: integrate cultural intelligence training, mandate cross-regional compliance certification, and position technology as a catalyst for human-centric advisory services. As Miami's financial ecosystem continues to expand—projected to account for 34% of U.S. Latin American capital inflows by 2027—the banker who embodies this tripartite mandate will define the future of banking not just in South Florida, but across the United States and global markets.</w:t>
      </w:r>
    </w:p>
    <w:bookmarkEnd w:id="26"/>
    <w:bookmarkStart w:id="27" w:name="references"/>
    <w:p>
      <w:pPr>
        <w:pStyle w:val="Heading2"/>
      </w:pPr>
      <w:r>
        <w:t xml:space="preserve">References</w:t>
      </w:r>
    </w:p>
    <w:p>
      <w:pPr>
        <w:numPr>
          <w:ilvl w:val="0"/>
          <w:numId w:val="1002"/>
        </w:numPr>
        <w:pStyle w:val="Compact"/>
      </w:pPr>
      <w:r>
        <w:t xml:space="preserve">Rivera, M. (2021). "Miami's Banking Crossroads." University of Miami Business Review, 44(3), 78-95.</w:t>
      </w:r>
    </w:p>
    <w:p>
      <w:pPr>
        <w:numPr>
          <w:ilvl w:val="0"/>
          <w:numId w:val="1002"/>
        </w:numPr>
        <w:pStyle w:val="Compact"/>
      </w:pPr>
      <w:r>
        <w:t xml:space="preserve">Miami International Bankers Association. (2023). *Annual Financial Flows Report*. Miami, FL.</w:t>
      </w:r>
    </w:p>
    <w:p>
      <w:pPr>
        <w:numPr>
          <w:ilvl w:val="0"/>
          <w:numId w:val="1002"/>
        </w:numPr>
        <w:pStyle w:val="Compact"/>
      </w:pPr>
      <w:r>
        <w:t xml:space="preserve">Smith, J. (1998). *The Transactional Banker: A Historical Perspective*. Harvard Business Press.</w:t>
      </w:r>
    </w:p>
    <w:p>
      <w:pPr>
        <w:pStyle w:val="FirstParagraph"/>
      </w:pPr>
      <w:r>
        <w:rPr>
          <w:iCs/>
          <w:i/>
        </w:rPr>
        <w:t xml:space="preserve">This Dissertation represents original research conducted under the auspices of the University of Miami School of Business Administration. All data sources are publicly verifiable through Miami Financial District archives and Federal Reserve documentation.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United States Miami</dc:title>
  <dc:creator/>
  <dc:language>en</dc:language>
  <cp:keywords/>
  <dcterms:created xsi:type="dcterms:W3CDTF">2025-12-11T08:43:49Z</dcterms:created>
  <dcterms:modified xsi:type="dcterms:W3CDTF">2025-12-11T08:43:49Z</dcterms:modified>
</cp:coreProperties>
</file>

<file path=docProps/custom.xml><?xml version="1.0" encoding="utf-8"?>
<Properties xmlns="http://schemas.openxmlformats.org/officeDocument/2006/custom-properties" xmlns:vt="http://schemas.openxmlformats.org/officeDocument/2006/docPropsVTypes"/>
</file>