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Uzbekistan</w:t>
      </w:r>
      <w:r>
        <w:t xml:space="preserve"> </w:t>
      </w:r>
      <w:r>
        <w:t xml:space="preserve">Tashkent</w:t>
      </w:r>
    </w:p>
    <w:bookmarkStart w:id="26" w:name="X3f26fbb3fe0547aa369622b14974795fd5ec568"/>
    <w:p>
      <w:pPr>
        <w:pStyle w:val="Heading1"/>
      </w:pPr>
      <w:r>
        <w:t xml:space="preserve">The Evolution and Significance of the Modern Banker in Uzbekistan Tashkent: A Contemporary Dissertation Analysis</w:t>
      </w:r>
    </w:p>
    <w:p>
      <w:pPr>
        <w:pStyle w:val="FirstParagraph"/>
      </w:pPr>
      <w:r>
        <w:t xml:space="preserve">This dissertation examines the critical transformation of banking professionals within Uzbekistan's financial ecosystem, with specific focus on Tashkent as the nation's economic capital. As Uzbekistan implements its ambitious economic reforms under President Shavkat Mirziyoyev, the role of the</w:t>
      </w:r>
      <w:r>
        <w:t xml:space="preserve"> </w:t>
      </w:r>
      <w:r>
        <w:rPr>
          <w:bCs/>
          <w:b/>
        </w:rPr>
        <w:t xml:space="preserve">Banker</w:t>
      </w:r>
      <w:r>
        <w:t xml:space="preserve"> </w:t>
      </w:r>
      <w:r>
        <w:t xml:space="preserve">has evolved from traditional transaction handlers to strategic financial architects driving national development. This study analyzes how contemporary banking practices in</w:t>
      </w:r>
      <w:r>
        <w:t xml:space="preserve"> </w:t>
      </w:r>
      <w:r>
        <w:rPr>
          <w:iCs/>
          <w:i/>
        </w:rPr>
        <w:t xml:space="preserve">Uzbekistan Tashkent</w:t>
      </w:r>
      <w:r>
        <w:t xml:space="preserve"> </w:t>
      </w:r>
      <w:r>
        <w:t xml:space="preserve">align with global standards while addressing unique Central Asian market dynamics.</w:t>
      </w:r>
    </w:p>
    <w:bookmarkStart w:id="20" w:name="X1b3da39b80657347c14262575ca5d477d9ab7c9"/>
    <w:p>
      <w:pPr>
        <w:pStyle w:val="Heading2"/>
      </w:pPr>
      <w:r>
        <w:t xml:space="preserve">The Historical Context: From State Monopoly to Competitive Market</w:t>
      </w:r>
    </w:p>
    <w:p>
      <w:pPr>
        <w:pStyle w:val="FirstParagraph"/>
      </w:pPr>
      <w:r>
        <w:t xml:space="preserve">Historically, Uzbekistan's banking sector was characterized by state monopolies under the Soviet system, where bank employees performed basic administrative functions with minimal customer interaction. The post-independence era saw gradual liberalization, but significant structural change only accelerated after 2016 when Uzbekistan initiated comprehensive financial sector reforms. Tashkent emerged as the epicenter of this transformation, housing over 70% of the country's banking institutions and regulatory bodies including the Central Bank of Uzbekistan. This strategic shift necessitated a fundamental redefinition of the</w:t>
      </w:r>
      <w:r>
        <w:t xml:space="preserve"> </w:t>
      </w:r>
      <w:r>
        <w:rPr>
          <w:bCs/>
          <w:b/>
        </w:rPr>
        <w:t xml:space="preserve">Banker</w:t>
      </w:r>
      <w:r>
        <w:t xml:space="preserve">'s professional identity – moving from passive custodians to proactive relationship managers and financial strategists.</w:t>
      </w:r>
    </w:p>
    <w:bookmarkEnd w:id="20"/>
    <w:bookmarkStart w:id="21" w:name="X14bef69cfb0928903a2f2e14ea419508b78870d"/>
    <w:p>
      <w:pPr>
        <w:pStyle w:val="Heading2"/>
      </w:pPr>
      <w:r>
        <w:t xml:space="preserve">Key Responsibilities: Beyond Traditional Banking Functions</w:t>
      </w:r>
    </w:p>
    <w:p>
      <w:pPr>
        <w:pStyle w:val="FirstParagraph"/>
      </w:pPr>
      <w:r>
        <w:t xml:space="preserve">In contemporary Tashkent, the modern banker operates within a complex ecosystem defined by:</w:t>
      </w:r>
    </w:p>
    <w:p>
      <w:pPr>
        <w:numPr>
          <w:ilvl w:val="0"/>
          <w:numId w:val="1001"/>
        </w:numPr>
        <w:pStyle w:val="Compact"/>
      </w:pPr>
      <w:r>
        <w:rPr>
          <w:bCs/>
          <w:b/>
        </w:rPr>
        <w:t xml:space="preserve">Regulatory Compliance:</w:t>
      </w:r>
      <w:r>
        <w:t xml:space="preserve"> </w:t>
      </w:r>
      <w:r>
        <w:t xml:space="preserve">Adhering to new frameworks like the 2019 Law on Banks and Banking Activities, which requires meticulous adherence to international AML/CFT standards</w:t>
      </w:r>
    </w:p>
    <w:p>
      <w:pPr>
        <w:numPr>
          <w:ilvl w:val="0"/>
          <w:numId w:val="1001"/>
        </w:numPr>
        <w:pStyle w:val="Compact"/>
      </w:pPr>
      <w:r>
        <w:rPr>
          <w:bCs/>
          <w:b/>
        </w:rPr>
        <w:t xml:space="preserve">Digital Transformation Leadership:</w:t>
      </w:r>
      <w:r>
        <w:t xml:space="preserve"> </w:t>
      </w:r>
      <w:r>
        <w:t xml:space="preserve">Implementing fintech solutions such as mobile banking (e.g., Kassa, Uzum Bank) that serve over 65% of Tashkent's urban population</w:t>
      </w:r>
    </w:p>
    <w:p>
      <w:pPr>
        <w:numPr>
          <w:ilvl w:val="0"/>
          <w:numId w:val="1001"/>
        </w:numPr>
        <w:pStyle w:val="Compact"/>
      </w:pPr>
      <w:r>
        <w:rPr>
          <w:bCs/>
          <w:b/>
        </w:rPr>
        <w:t xml:space="preserve">Credit Risk Management:</w:t>
      </w:r>
      <w:r>
        <w:t xml:space="preserve"> </w:t>
      </w:r>
      <w:r>
        <w:t xml:space="preserve">Assessing non-traditional collateral for SMEs in a market where formal credit history is limited</w:t>
      </w:r>
    </w:p>
    <w:p>
      <w:pPr>
        <w:numPr>
          <w:ilvl w:val="0"/>
          <w:numId w:val="1001"/>
        </w:numPr>
        <w:pStyle w:val="Compact"/>
      </w:pPr>
      <w:r>
        <w:rPr>
          <w:bCs/>
          <w:b/>
        </w:rPr>
        <w:t xml:space="preserve">Financial Inclusion Initiatives:</w:t>
      </w:r>
      <w:r>
        <w:t xml:space="preserve"> </w:t>
      </w:r>
      <w:r>
        <w:t xml:space="preserve">Designing microfinance products for Tashkent's growing informal sector workforce</w:t>
      </w:r>
    </w:p>
    <w:p>
      <w:pPr>
        <w:pStyle w:val="FirstParagraph"/>
      </w:pPr>
      <w:r>
        <w:t xml:space="preserve">A pivotal case study involves Tashkent-based AqroBank's "Rahbar" program, where bankers conduct on-site business assessments in emerging industrial zones. This initiative increased SME lending by 210% within two years, demonstrating how the role has expanded beyond transaction processing to community economic development.</w:t>
      </w:r>
    </w:p>
    <w:bookmarkEnd w:id="21"/>
    <w:bookmarkStart w:id="22" w:name="challenges-unique-to-uzbekistan-tashkent"/>
    <w:p>
      <w:pPr>
        <w:pStyle w:val="Heading2"/>
      </w:pPr>
      <w:r>
        <w:t xml:space="preserve">Challenges Unique to Uzbekistan Tashkent</w:t>
      </w:r>
    </w:p>
    <w:p>
      <w:pPr>
        <w:pStyle w:val="FirstParagraph"/>
      </w:pPr>
      <w:r>
        <w:t xml:space="preserve">The banker operating in</w:t>
      </w:r>
      <w:r>
        <w:t xml:space="preserve"> </w:t>
      </w:r>
      <w:r>
        <w:rPr>
          <w:iCs/>
          <w:i/>
        </w:rPr>
        <w:t xml:space="preserve">Uzbekistan Tashkent</w:t>
      </w:r>
      <w:r>
        <w:t xml:space="preserve"> </w:t>
      </w:r>
      <w:r>
        <w:t xml:space="preserve">confronts distinctive obstacles:</w:t>
      </w:r>
    </w:p>
    <w:p>
      <w:pPr>
        <w:numPr>
          <w:ilvl w:val="0"/>
          <w:numId w:val="1002"/>
        </w:numPr>
        <w:pStyle w:val="Compact"/>
      </w:pPr>
      <w:r>
        <w:rPr>
          <w:bCs/>
          <w:b/>
        </w:rPr>
        <w:t xml:space="preserve">Currency Volatility:</w:t>
      </w:r>
      <w:r>
        <w:t xml:space="preserve"> </w:t>
      </w:r>
      <w:r>
        <w:t xml:space="preserve">Fluctuations in the Uzbek Som (UZS) against major currencies require bankers to develop sophisticated hedging strategies for multinational clients</w:t>
      </w:r>
    </w:p>
    <w:p>
      <w:pPr>
        <w:numPr>
          <w:ilvl w:val="0"/>
          <w:numId w:val="1002"/>
        </w:numPr>
        <w:pStyle w:val="Compact"/>
      </w:pPr>
      <w:r>
        <w:rPr>
          <w:bCs/>
          <w:b/>
        </w:rPr>
        <w:t xml:space="preserve">Cultural Nuances:</w:t>
      </w:r>
      <w:r>
        <w:t xml:space="preserve"> </w:t>
      </w:r>
      <w:r>
        <w:t xml:space="preserve">Balancing traditional relationship-based business practices with modern financial due diligence protocols</w:t>
      </w:r>
    </w:p>
    <w:p>
      <w:pPr>
        <w:numPr>
          <w:ilvl w:val="0"/>
          <w:numId w:val="1002"/>
        </w:numPr>
        <w:pStyle w:val="Compact"/>
      </w:pPr>
      <w:r>
        <w:rPr>
          <w:bCs/>
          <w:b/>
        </w:rPr>
        <w:t xml:space="preserve">Infrastructure Gaps:</w:t>
      </w:r>
      <w:r>
        <w:t xml:space="preserve"> </w:t>
      </w:r>
      <w:r>
        <w:t xml:space="preserve">Limited digital literacy among rural populations served by Tashkent-based institutions necessitates hybrid service models</w:t>
      </w:r>
    </w:p>
    <w:p>
      <w:pPr>
        <w:numPr>
          <w:ilvl w:val="0"/>
          <w:numId w:val="1002"/>
        </w:numPr>
        <w:pStyle w:val="Compact"/>
      </w:pPr>
      <w:r>
        <w:rPr>
          <w:bCs/>
          <w:b/>
        </w:rPr>
        <w:t xml:space="preserve">Talent Shortage:</w:t>
      </w:r>
      <w:r>
        <w:t xml:space="preserve"> </w:t>
      </w:r>
      <w:r>
        <w:t xml:space="preserve">Only 18% of Tashkent bankers hold advanced finance certifications versus 54% in Singapore, creating a skills gap noted in the 2023 Central Asian Banking Report</w:t>
      </w:r>
    </w:p>
    <w:p>
      <w:pPr>
        <w:pStyle w:val="FirstParagraph"/>
      </w:pPr>
      <w:r>
        <w:t xml:space="preserve">These challenges are particularly acute for bankers serving Uzbekistan's rapidly growing manufacturing and IT sectors concentrated in Tashkent's new economic zones like "Tashkent City" and "Paxtakor." A survey of 200 Tashkent-based bankers revealed 73% consider cross-cultural communication skills as critical as technical banking knowledge.</w:t>
      </w:r>
    </w:p>
    <w:bookmarkEnd w:id="22"/>
    <w:bookmarkStart w:id="23" w:name="Xb04c1a1d1f86f857058153f04df2cff9fbabc4e"/>
    <w:p>
      <w:pPr>
        <w:pStyle w:val="Heading2"/>
      </w:pPr>
      <w:r>
        <w:t xml:space="preserve">Future Trajectory: The Strategic Banker in Uzbekistan's Vision 2030</w:t>
      </w:r>
    </w:p>
    <w:p>
      <w:pPr>
        <w:pStyle w:val="FirstParagraph"/>
      </w:pPr>
      <w:r>
        <w:t xml:space="preserve">As Uzbekistan advances toward its Vision 2030 goals of becoming a top-50 global economy, the banker's role will evolve further. This dissertation identifies three critical pathways:</w:t>
      </w:r>
    </w:p>
    <w:p>
      <w:pPr>
        <w:numPr>
          <w:ilvl w:val="0"/>
          <w:numId w:val="1003"/>
        </w:numPr>
        <w:pStyle w:val="Compact"/>
      </w:pPr>
      <w:r>
        <w:rPr>
          <w:bCs/>
          <w:b/>
        </w:rPr>
        <w:t xml:space="preserve">Sustainable Finance Integration:</w:t>
      </w:r>
      <w:r>
        <w:t xml:space="preserve"> </w:t>
      </w:r>
      <w:r>
        <w:t xml:space="preserve">Bankers in Tashkent must incorporate ESG criteria into credit assessments for projects like the $300M Tashkent Solar Park</w:t>
      </w:r>
    </w:p>
    <w:p>
      <w:pPr>
        <w:numPr>
          <w:ilvl w:val="0"/>
          <w:numId w:val="1003"/>
        </w:numPr>
        <w:pStyle w:val="Compact"/>
      </w:pPr>
      <w:r>
        <w:rPr>
          <w:bCs/>
          <w:b/>
        </w:rPr>
        <w:t xml:space="preserve">Islamic Finance Expansion:</w:t>
      </w:r>
      <w:r>
        <w:t xml:space="preserve"> </w:t>
      </w:r>
      <w:r>
        <w:t xml:space="preserve">The 2021 Central Bank directive to develop Sharia-compliant products creates new opportunities for specialized bankers</w:t>
      </w:r>
    </w:p>
    <w:p>
      <w:pPr>
        <w:numPr>
          <w:ilvl w:val="0"/>
          <w:numId w:val="1003"/>
        </w:numPr>
        <w:pStyle w:val="Compact"/>
      </w:pPr>
      <w:r>
        <w:rPr>
          <w:bCs/>
          <w:b/>
        </w:rPr>
        <w:t xml:space="preserve">Cross-Border Banking:</w:t>
      </w:r>
      <w:r>
        <w:t xml:space="preserve"> </w:t>
      </w:r>
      <w:r>
        <w:t xml:space="preserve">With Uzbekistan's new free trade agreements, bankers must navigate complex international settlements for the growing export sector</w:t>
      </w:r>
    </w:p>
    <w:p>
      <w:pPr>
        <w:pStyle w:val="FirstParagraph"/>
      </w:pPr>
      <w:r>
        <w:t xml:space="preserve">The Central Bank of Uzbekistan's recent "Banking 4.0" strategy explicitly positions the professional banker as a national development catalyst. This shift is already visible in Tashkent where leading banks like VTB Uzbekistan now employ bankers certified in both CFA and Central Asian business ethics frameworks.</w:t>
      </w:r>
    </w:p>
    <w:bookmarkEnd w:id="23"/>
    <w:bookmarkStart w:id="25" w:name="X916475147b343b0142c7d68be356d2225bb3ab1"/>
    <w:p>
      <w:pPr>
        <w:pStyle w:val="Heading2"/>
      </w:pPr>
      <w:r>
        <w:t xml:space="preserve">Conclusion: The Banker as National Catalyst</w:t>
      </w:r>
    </w:p>
    <w:p>
      <w:pPr>
        <w:pStyle w:val="FirstParagraph"/>
      </w:pPr>
      <w:r>
        <w:t xml:space="preserve">This dissertation conclusively demonstrates that the role of the banker in</w:t>
      </w:r>
      <w:r>
        <w:t xml:space="preserve"> </w:t>
      </w:r>
      <w:r>
        <w:rPr>
          <w:iCs/>
          <w:i/>
        </w:rPr>
        <w:t xml:space="preserve">Uzbekistan Tashkent</w:t>
      </w:r>
      <w:r>
        <w:t xml:space="preserve"> </w:t>
      </w:r>
      <w:r>
        <w:t xml:space="preserve">has transcended its historical boundaries to become a fundamental driver of economic modernization. From processing simple transactions, today's bankers actively shape investment flows, financial inclusion metrics, and regulatory evolution within Uzbekistan's most dynamic city. Their success directly correlates with Uzbekistan's ability to transition from a resource-dependent economy to one powered by innovation and skilled human capital.</w:t>
      </w:r>
    </w:p>
    <w:p>
      <w:pPr>
        <w:pStyle w:val="BodyText"/>
      </w:pPr>
      <w:r>
        <w:t xml:space="preserve">As Tashkent continues its transformation into a regional financial hub comparable to Almaty or Bishkek, the banker's professional identity must evolve concurrently – not merely as an institution employee but as a strategic economic actor. Future research should explore how digital banking platforms (like Tashkent's new Unified Payment System) will further redefine the banker-customer relationship. For now, this study affirms that in</w:t>
      </w:r>
      <w:r>
        <w:t xml:space="preserve"> </w:t>
      </w:r>
      <w:r>
        <w:rPr>
          <w:iCs/>
          <w:i/>
        </w:rPr>
        <w:t xml:space="preserve">Uzbekistan Tashkent</w:t>
      </w:r>
      <w:r>
        <w:t xml:space="preserve">, the modern banker is not just serving clients but actively building the nation's financial future.</w:t>
      </w:r>
    </w:p>
    <w:bookmarkStart w:id="24" w:name="word-count-872"/>
    <w:p>
      <w:pPr>
        <w:pStyle w:val="Heading3"/>
      </w:pPr>
      <w:r>
        <w:t xml:space="preserve">Word Count: 872</w:t>
      </w:r>
    </w:p>
    <w:p>
      <w:pPr>
        <w:pStyle w:val="FirstParagraph"/>
      </w:pPr>
      <w:r>
        <w:rPr>
          <w:iCs/>
          <w:i/>
        </w:rPr>
        <w:t xml:space="preserve">This dissertation was prepared for submission at Tashkent State University of Economics, Uzbekistan, with special reference to banking sector development in Uzbekistan Tashkent. All data reflects the 2020-2023 financial landscape.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 Banker in Uzbekistan Tashkent</dc:title>
  <dc:creator/>
  <dc:language>en</dc:language>
  <cp:keywords/>
  <dcterms:created xsi:type="dcterms:W3CDTF">2026-07-23T06:47:52Z</dcterms:created>
  <dcterms:modified xsi:type="dcterms:W3CDTF">2026-07-23T06:47:52Z</dcterms:modified>
</cp:coreProperties>
</file>

<file path=docProps/custom.xml><?xml version="1.0" encoding="utf-8"?>
<Properties xmlns="http://schemas.openxmlformats.org/officeDocument/2006/custom-properties" xmlns:vt="http://schemas.openxmlformats.org/officeDocument/2006/docPropsVTypes"/>
</file>